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2BBB5" w14:textId="30F19407" w:rsidR="002D65EC" w:rsidRDefault="005622F2" w:rsidP="002D65EC">
      <w:pPr>
        <w:pStyle w:val="Default"/>
        <w:rPr>
          <w:rFonts w:ascii="Titillium" w:hAnsi="Titillium"/>
          <w:sz w:val="18"/>
          <w:szCs w:val="18"/>
        </w:rPr>
      </w:pPr>
      <w:r>
        <w:rPr>
          <w:noProof/>
          <w:lang w:eastAsia="it-IT"/>
        </w:rPr>
        <w:drawing>
          <wp:inline distT="0" distB="0" distL="0" distR="0" wp14:anchorId="3EC8AD28" wp14:editId="33A79E7D">
            <wp:extent cx="2877820" cy="341630"/>
            <wp:effectExtent l="0" t="0" r="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6BEC85" w14:textId="555D886D" w:rsidR="005622F2" w:rsidRDefault="005622F2" w:rsidP="002D65EC">
      <w:pPr>
        <w:pStyle w:val="Default"/>
        <w:rPr>
          <w:rFonts w:ascii="Titillium" w:hAnsi="Titillium"/>
          <w:sz w:val="18"/>
          <w:szCs w:val="18"/>
        </w:rPr>
      </w:pPr>
    </w:p>
    <w:p w14:paraId="7247B557" w14:textId="293E639A" w:rsidR="002D65EC" w:rsidRPr="00926F40" w:rsidRDefault="002D65EC" w:rsidP="002D65EC">
      <w:pPr>
        <w:pStyle w:val="Default"/>
        <w:rPr>
          <w:rFonts w:ascii="Titillium" w:hAnsi="Titillium"/>
          <w:sz w:val="18"/>
          <w:szCs w:val="18"/>
        </w:rPr>
      </w:pPr>
    </w:p>
    <w:p w14:paraId="4404B95A" w14:textId="4326638E" w:rsidR="002D65EC" w:rsidRPr="00291953" w:rsidRDefault="002D65EC" w:rsidP="009E3B1D">
      <w:pPr>
        <w:pStyle w:val="Default"/>
        <w:jc w:val="center"/>
        <w:rPr>
          <w:rFonts w:ascii="Gotham Light" w:eastAsiaTheme="majorEastAsia" w:hAnsi="Gotham Light" w:cstheme="majorBidi"/>
          <w:b/>
          <w:color w:val="2E74B5" w:themeColor="accent1" w:themeShade="BF"/>
          <w:sz w:val="28"/>
        </w:rPr>
      </w:pPr>
    </w:p>
    <w:p w14:paraId="04478E16" w14:textId="77777777" w:rsidR="002D65EC" w:rsidRPr="00926F40" w:rsidRDefault="002D65EC" w:rsidP="002D65EC">
      <w:pPr>
        <w:pStyle w:val="Default"/>
        <w:rPr>
          <w:rFonts w:ascii="Titillium" w:hAnsi="Titillium"/>
          <w:color w:val="auto"/>
          <w:sz w:val="18"/>
          <w:szCs w:val="18"/>
        </w:rPr>
      </w:pPr>
    </w:p>
    <w:p w14:paraId="56DDF33D" w14:textId="7AD15CDF" w:rsidR="002D65EC" w:rsidRPr="008E5D75" w:rsidRDefault="00EC26A2" w:rsidP="00EC26A2">
      <w:pPr>
        <w:pStyle w:val="Default"/>
        <w:jc w:val="center"/>
        <w:rPr>
          <w:rFonts w:ascii="Titillium" w:hAnsi="Titillium"/>
          <w:color w:val="2E74B5" w:themeColor="accent1" w:themeShade="BF"/>
          <w:sz w:val="18"/>
          <w:szCs w:val="18"/>
        </w:rPr>
      </w:pPr>
      <w:r>
        <w:rPr>
          <w:rFonts w:ascii="Gotham Light" w:eastAsiaTheme="majorEastAsia" w:hAnsi="Gotham Light" w:cstheme="majorBidi"/>
          <w:color w:val="2E74B5" w:themeColor="accent1" w:themeShade="BF"/>
          <w:sz w:val="28"/>
        </w:rPr>
        <w:t xml:space="preserve">Istanza </w:t>
      </w:r>
      <w:r w:rsidRPr="00EC26A2">
        <w:rPr>
          <w:rFonts w:ascii="Gotham Light" w:eastAsiaTheme="majorEastAsia" w:hAnsi="Gotham Light" w:cstheme="majorBidi"/>
          <w:color w:val="2E74B5" w:themeColor="accent1" w:themeShade="BF"/>
          <w:sz w:val="28"/>
        </w:rPr>
        <w:t xml:space="preserve">per </w:t>
      </w:r>
      <w:r w:rsidR="00925E05">
        <w:rPr>
          <w:rFonts w:ascii="Gotham Light" w:eastAsiaTheme="majorEastAsia" w:hAnsi="Gotham Light" w:cstheme="majorBidi"/>
          <w:color w:val="2E74B5" w:themeColor="accent1" w:themeShade="BF"/>
          <w:sz w:val="28"/>
        </w:rPr>
        <w:t>la richiesta di qualificazione con riserva ai sensi dell’art. 63, comma 13</w:t>
      </w:r>
      <w:r w:rsidRPr="00EC26A2">
        <w:rPr>
          <w:rFonts w:ascii="Gotham Light" w:eastAsiaTheme="majorEastAsia" w:hAnsi="Gotham Light" w:cstheme="majorBidi"/>
          <w:color w:val="2E74B5" w:themeColor="accent1" w:themeShade="BF"/>
          <w:sz w:val="28"/>
        </w:rPr>
        <w:t>, del d.lgs. 31 marzo 2023, n. 36.</w:t>
      </w:r>
    </w:p>
    <w:p w14:paraId="2F5071B0" w14:textId="201929FB" w:rsidR="00A00F3E" w:rsidRDefault="00A00F3E" w:rsidP="005622F2">
      <w:pPr>
        <w:pStyle w:val="Default"/>
        <w:jc w:val="right"/>
        <w:rPr>
          <w:rFonts w:ascii="Titillium" w:hAnsi="Titillium" w:cs="Garamond"/>
          <w:color w:val="auto"/>
          <w:sz w:val="22"/>
          <w:szCs w:val="22"/>
        </w:rPr>
      </w:pPr>
    </w:p>
    <w:p w14:paraId="006C48FF" w14:textId="5045DA75" w:rsidR="00072077" w:rsidRDefault="00072077" w:rsidP="005622F2">
      <w:pPr>
        <w:pStyle w:val="Default"/>
        <w:jc w:val="right"/>
        <w:rPr>
          <w:rFonts w:ascii="Titillium" w:hAnsi="Titillium" w:cs="Garamond"/>
          <w:color w:val="auto"/>
          <w:sz w:val="22"/>
          <w:szCs w:val="22"/>
        </w:rPr>
      </w:pPr>
    </w:p>
    <w:p w14:paraId="22DAA0EF" w14:textId="77777777" w:rsidR="00072077" w:rsidRDefault="00072077" w:rsidP="005622F2">
      <w:pPr>
        <w:pStyle w:val="Default"/>
        <w:jc w:val="right"/>
        <w:rPr>
          <w:rFonts w:ascii="Titillium" w:hAnsi="Titillium" w:cs="Garamond"/>
          <w:color w:val="auto"/>
          <w:sz w:val="22"/>
          <w:szCs w:val="22"/>
        </w:rPr>
      </w:pPr>
    </w:p>
    <w:p w14:paraId="1BC96166" w14:textId="492BC5CF" w:rsidR="002D65EC" w:rsidRPr="005622F2" w:rsidRDefault="002D65EC" w:rsidP="00715F3B">
      <w:pPr>
        <w:pStyle w:val="Default"/>
        <w:ind w:left="5245" w:right="140"/>
        <w:rPr>
          <w:rFonts w:ascii="Titillium" w:hAnsi="Titillium" w:cs="Garamond"/>
          <w:color w:val="auto"/>
          <w:sz w:val="22"/>
          <w:szCs w:val="22"/>
        </w:rPr>
      </w:pPr>
      <w:r w:rsidRPr="005622F2">
        <w:rPr>
          <w:rFonts w:ascii="Titillium" w:hAnsi="Titillium" w:cs="Garamond"/>
          <w:color w:val="auto"/>
          <w:sz w:val="22"/>
          <w:szCs w:val="22"/>
        </w:rPr>
        <w:t xml:space="preserve">All’Autorità Nazionale Anticorruzione </w:t>
      </w:r>
    </w:p>
    <w:p w14:paraId="1D50E0A7" w14:textId="77777777" w:rsidR="00715F3B" w:rsidRDefault="00A03C6E" w:rsidP="00715F3B">
      <w:pPr>
        <w:pStyle w:val="Default"/>
        <w:ind w:left="5245" w:right="140"/>
        <w:rPr>
          <w:rFonts w:ascii="Titillium" w:hAnsi="Titillium" w:cs="Garamond"/>
          <w:color w:val="auto"/>
          <w:sz w:val="22"/>
          <w:szCs w:val="22"/>
        </w:rPr>
      </w:pPr>
      <w:r w:rsidRPr="00A03C6E">
        <w:rPr>
          <w:rFonts w:ascii="Titillium" w:hAnsi="Titillium" w:cs="Garamond"/>
          <w:color w:val="auto"/>
          <w:sz w:val="22"/>
          <w:szCs w:val="22"/>
        </w:rPr>
        <w:t xml:space="preserve">Ufficio Qualificazione Stazioni Appaltanti, </w:t>
      </w:r>
    </w:p>
    <w:p w14:paraId="48EC9FD6" w14:textId="77777777" w:rsidR="00715F3B" w:rsidRDefault="00A03C6E" w:rsidP="00715F3B">
      <w:pPr>
        <w:pStyle w:val="Default"/>
        <w:ind w:left="5245" w:right="140"/>
        <w:rPr>
          <w:rFonts w:ascii="Titillium" w:hAnsi="Titillium" w:cs="Garamond"/>
          <w:color w:val="auto"/>
          <w:sz w:val="22"/>
          <w:szCs w:val="22"/>
        </w:rPr>
      </w:pPr>
      <w:r w:rsidRPr="00A03C6E">
        <w:rPr>
          <w:rFonts w:ascii="Titillium" w:hAnsi="Titillium" w:cs="Garamond"/>
          <w:color w:val="auto"/>
          <w:sz w:val="22"/>
          <w:szCs w:val="22"/>
        </w:rPr>
        <w:t xml:space="preserve">Centrali di Committenza, soggetti Aggregatori </w:t>
      </w:r>
    </w:p>
    <w:p w14:paraId="17AA51A9" w14:textId="76C0438E" w:rsidR="002D65EC" w:rsidRPr="005622F2" w:rsidRDefault="00A03C6E" w:rsidP="00715F3B">
      <w:pPr>
        <w:pStyle w:val="Default"/>
        <w:ind w:left="5245" w:right="140"/>
        <w:rPr>
          <w:rFonts w:ascii="Titillium" w:hAnsi="Titillium" w:cs="Garamond"/>
          <w:color w:val="auto"/>
          <w:sz w:val="22"/>
          <w:szCs w:val="22"/>
        </w:rPr>
      </w:pPr>
      <w:r w:rsidRPr="00A03C6E">
        <w:rPr>
          <w:rFonts w:ascii="Titillium" w:hAnsi="Titillium" w:cs="Garamond"/>
          <w:color w:val="auto"/>
          <w:sz w:val="22"/>
          <w:szCs w:val="22"/>
        </w:rPr>
        <w:t xml:space="preserve">e </w:t>
      </w:r>
      <w:proofErr w:type="gramStart"/>
      <w:r w:rsidRPr="00A03C6E">
        <w:rPr>
          <w:rFonts w:ascii="Titillium" w:hAnsi="Titillium" w:cs="Garamond"/>
          <w:color w:val="auto"/>
          <w:sz w:val="22"/>
          <w:szCs w:val="22"/>
        </w:rPr>
        <w:t>Rating  d’Impresa</w:t>
      </w:r>
      <w:proofErr w:type="gramEnd"/>
      <w:r w:rsidRPr="00A03C6E">
        <w:rPr>
          <w:rFonts w:ascii="Titillium" w:hAnsi="Titillium" w:cs="Garamond"/>
          <w:color w:val="auto"/>
          <w:sz w:val="22"/>
          <w:szCs w:val="22"/>
        </w:rPr>
        <w:t xml:space="preserve"> (UQUA)</w:t>
      </w:r>
      <w:r w:rsidR="002D65EC" w:rsidRPr="005622F2">
        <w:rPr>
          <w:rFonts w:ascii="Titillium" w:hAnsi="Titillium" w:cs="Garamond"/>
          <w:color w:val="auto"/>
          <w:sz w:val="22"/>
          <w:szCs w:val="22"/>
        </w:rPr>
        <w:t xml:space="preserve">) </w:t>
      </w:r>
    </w:p>
    <w:p w14:paraId="7C0B7E6F" w14:textId="126643B5" w:rsidR="002D65EC" w:rsidRPr="005622F2" w:rsidRDefault="002D65EC" w:rsidP="00715F3B">
      <w:pPr>
        <w:pStyle w:val="Default"/>
        <w:ind w:left="5245" w:right="140"/>
        <w:rPr>
          <w:rFonts w:ascii="Titillium" w:hAnsi="Titillium" w:cs="Garamond"/>
          <w:color w:val="auto"/>
          <w:sz w:val="22"/>
          <w:szCs w:val="22"/>
        </w:rPr>
      </w:pPr>
      <w:r w:rsidRPr="005622F2">
        <w:rPr>
          <w:rFonts w:ascii="Titillium" w:hAnsi="Titillium" w:cs="Garamond"/>
          <w:color w:val="auto"/>
          <w:sz w:val="22"/>
          <w:szCs w:val="22"/>
        </w:rPr>
        <w:t xml:space="preserve">via </w:t>
      </w:r>
      <w:r w:rsidR="00C444F6">
        <w:rPr>
          <w:rFonts w:ascii="Titillium" w:hAnsi="Titillium" w:cs="Garamond"/>
          <w:color w:val="auto"/>
          <w:sz w:val="22"/>
          <w:szCs w:val="22"/>
        </w:rPr>
        <w:t xml:space="preserve">Marco </w:t>
      </w:r>
      <w:r w:rsidRPr="005622F2">
        <w:rPr>
          <w:rFonts w:ascii="Titillium" w:hAnsi="Titillium" w:cs="Garamond"/>
          <w:color w:val="auto"/>
          <w:sz w:val="22"/>
          <w:szCs w:val="22"/>
        </w:rPr>
        <w:t xml:space="preserve">Minghetti ,10 </w:t>
      </w:r>
    </w:p>
    <w:p w14:paraId="5FFE5172" w14:textId="77777777" w:rsidR="002D65EC" w:rsidRPr="005622F2" w:rsidRDefault="002D65EC" w:rsidP="00715F3B">
      <w:pPr>
        <w:pStyle w:val="Default"/>
        <w:ind w:left="5245" w:right="140"/>
        <w:rPr>
          <w:rFonts w:ascii="Titillium" w:hAnsi="Titillium" w:cs="Garamond"/>
          <w:color w:val="auto"/>
          <w:sz w:val="22"/>
          <w:szCs w:val="22"/>
        </w:rPr>
      </w:pPr>
      <w:r w:rsidRPr="005622F2">
        <w:rPr>
          <w:rFonts w:ascii="Titillium" w:hAnsi="Titillium" w:cs="Garamond"/>
          <w:color w:val="auto"/>
          <w:sz w:val="22"/>
          <w:szCs w:val="22"/>
        </w:rPr>
        <w:t xml:space="preserve">00187 – Roma </w:t>
      </w:r>
    </w:p>
    <w:p w14:paraId="3A877C9F" w14:textId="77777777" w:rsidR="002D65EC" w:rsidRPr="005622F2" w:rsidRDefault="002D65EC" w:rsidP="00715F3B">
      <w:pPr>
        <w:pStyle w:val="Default"/>
        <w:ind w:left="5245" w:right="140"/>
        <w:rPr>
          <w:rFonts w:ascii="Titillium" w:hAnsi="Titillium" w:cs="Garamond"/>
          <w:color w:val="auto"/>
          <w:sz w:val="22"/>
          <w:szCs w:val="22"/>
        </w:rPr>
      </w:pPr>
      <w:proofErr w:type="spellStart"/>
      <w:r w:rsidRPr="005622F2">
        <w:rPr>
          <w:rFonts w:ascii="Titillium" w:hAnsi="Titillium" w:cs="Garamond"/>
          <w:color w:val="auto"/>
          <w:sz w:val="22"/>
          <w:szCs w:val="22"/>
        </w:rPr>
        <w:t>pec</w:t>
      </w:r>
      <w:proofErr w:type="spellEnd"/>
      <w:r w:rsidRPr="005622F2">
        <w:rPr>
          <w:rFonts w:ascii="Titillium" w:hAnsi="Titillium" w:cs="Garamond"/>
          <w:color w:val="auto"/>
          <w:sz w:val="22"/>
          <w:szCs w:val="22"/>
        </w:rPr>
        <w:t xml:space="preserve">: protocollo@pec.anticorruzione.it </w:t>
      </w:r>
    </w:p>
    <w:p w14:paraId="22370052" w14:textId="28FA9D2C" w:rsidR="00A00F3E" w:rsidRDefault="00A00F3E" w:rsidP="002D65EC">
      <w:pPr>
        <w:pStyle w:val="Default"/>
        <w:rPr>
          <w:rFonts w:ascii="Titillium" w:hAnsi="Titillium" w:cs="Garamond"/>
          <w:b/>
          <w:bCs/>
          <w:color w:val="auto"/>
          <w:sz w:val="18"/>
          <w:szCs w:val="18"/>
        </w:rPr>
      </w:pPr>
    </w:p>
    <w:p w14:paraId="77B57F73" w14:textId="77777777" w:rsidR="00C2635C" w:rsidRDefault="00C2635C" w:rsidP="002D65EC">
      <w:pPr>
        <w:pStyle w:val="Default"/>
        <w:rPr>
          <w:rFonts w:ascii="Titillium" w:hAnsi="Titillium" w:cs="Garamond"/>
          <w:b/>
          <w:bCs/>
          <w:color w:val="auto"/>
          <w:sz w:val="18"/>
          <w:szCs w:val="18"/>
        </w:rPr>
      </w:pPr>
    </w:p>
    <w:p w14:paraId="4FFD1689" w14:textId="77777777" w:rsidR="00C41602" w:rsidRDefault="00C41602" w:rsidP="002D65EC">
      <w:pPr>
        <w:pStyle w:val="Default"/>
        <w:rPr>
          <w:rFonts w:ascii="Titillium" w:hAnsi="Titillium" w:cs="Garamond"/>
          <w:b/>
          <w:bCs/>
          <w:color w:val="auto"/>
          <w:sz w:val="18"/>
          <w:szCs w:val="18"/>
        </w:rPr>
      </w:pPr>
    </w:p>
    <w:p w14:paraId="088BA343" w14:textId="77777777" w:rsidR="00C41602" w:rsidRPr="00DD446F" w:rsidRDefault="00C41602" w:rsidP="00C41602">
      <w:pPr>
        <w:pStyle w:val="Default"/>
        <w:numPr>
          <w:ilvl w:val="0"/>
          <w:numId w:val="3"/>
        </w:numPr>
        <w:tabs>
          <w:tab w:val="left" w:pos="1276"/>
          <w:tab w:val="left" w:leader="dot" w:pos="9072"/>
        </w:tabs>
        <w:ind w:right="566"/>
        <w:rPr>
          <w:rFonts w:ascii="Titillium" w:hAnsi="Titillium" w:cs="Garamond"/>
          <w:b/>
          <w:color w:val="2E74B5" w:themeColor="accent1" w:themeShade="BF"/>
          <w:sz w:val="22"/>
          <w:szCs w:val="22"/>
        </w:rPr>
      </w:pPr>
      <w:r w:rsidRPr="00DD446F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>Dati Stazione Appaltante richiedente</w:t>
      </w:r>
    </w:p>
    <w:p w14:paraId="70030932" w14:textId="77777777" w:rsidR="00C41602" w:rsidRPr="00DD446F" w:rsidRDefault="00C41602" w:rsidP="00C41602">
      <w:pPr>
        <w:pStyle w:val="Default"/>
        <w:numPr>
          <w:ilvl w:val="1"/>
          <w:numId w:val="3"/>
        </w:numPr>
        <w:tabs>
          <w:tab w:val="left" w:leader="underscore" w:pos="9072"/>
        </w:tabs>
        <w:rPr>
          <w:rFonts w:ascii="Titillium" w:hAnsi="Titillium"/>
          <w:color w:val="auto"/>
          <w:sz w:val="22"/>
          <w:szCs w:val="22"/>
        </w:rPr>
      </w:pPr>
      <w:r w:rsidRPr="00DD446F">
        <w:rPr>
          <w:rFonts w:ascii="Titillium" w:hAnsi="Titillium"/>
          <w:color w:val="auto"/>
          <w:sz w:val="22"/>
          <w:szCs w:val="22"/>
        </w:rPr>
        <w:t>Denominazione_________________________________________________</w:t>
      </w:r>
    </w:p>
    <w:p w14:paraId="3F84A46C" w14:textId="77777777" w:rsidR="00C41602" w:rsidRPr="00DD446F" w:rsidRDefault="00C41602" w:rsidP="00C41602">
      <w:pPr>
        <w:pStyle w:val="Default"/>
        <w:numPr>
          <w:ilvl w:val="1"/>
          <w:numId w:val="3"/>
        </w:numPr>
        <w:tabs>
          <w:tab w:val="left" w:leader="underscore" w:pos="9072"/>
        </w:tabs>
        <w:rPr>
          <w:rFonts w:ascii="Titillium" w:hAnsi="Titillium"/>
          <w:color w:val="auto"/>
          <w:sz w:val="22"/>
          <w:szCs w:val="22"/>
        </w:rPr>
      </w:pPr>
      <w:r w:rsidRPr="00DD446F">
        <w:rPr>
          <w:rFonts w:ascii="Titillium" w:hAnsi="Titillium" w:cs="Garamond"/>
          <w:color w:val="auto"/>
          <w:sz w:val="22"/>
          <w:szCs w:val="22"/>
        </w:rPr>
        <w:t xml:space="preserve">Codice Fiscale </w:t>
      </w:r>
      <w:r w:rsidRPr="00DD446F">
        <w:rPr>
          <w:rFonts w:ascii="Titillium" w:hAnsi="Titillium" w:cs="Garamond"/>
          <w:color w:val="auto"/>
          <w:sz w:val="22"/>
          <w:szCs w:val="22"/>
        </w:rPr>
        <w:tab/>
      </w:r>
    </w:p>
    <w:p w14:paraId="5EA49461" w14:textId="77777777" w:rsidR="00C41602" w:rsidRPr="00F23E0C" w:rsidRDefault="00C41602" w:rsidP="00C41602">
      <w:pPr>
        <w:pStyle w:val="Default"/>
        <w:numPr>
          <w:ilvl w:val="1"/>
          <w:numId w:val="3"/>
        </w:numPr>
        <w:tabs>
          <w:tab w:val="left" w:leader="underscore" w:pos="9072"/>
        </w:tabs>
        <w:rPr>
          <w:rFonts w:ascii="Titillium" w:hAnsi="Titillium"/>
          <w:color w:val="auto"/>
          <w:sz w:val="22"/>
          <w:szCs w:val="22"/>
        </w:rPr>
      </w:pPr>
      <w:r w:rsidRPr="00DD446F">
        <w:rPr>
          <w:rFonts w:ascii="Titillium" w:hAnsi="Titillium" w:cs="Garamond"/>
          <w:color w:val="auto"/>
          <w:sz w:val="22"/>
          <w:szCs w:val="22"/>
        </w:rPr>
        <w:t xml:space="preserve">Indirizzo </w:t>
      </w:r>
      <w:r w:rsidRPr="00DD446F">
        <w:rPr>
          <w:rFonts w:ascii="Titillium" w:hAnsi="Titillium" w:cs="Garamond"/>
          <w:color w:val="auto"/>
          <w:sz w:val="22"/>
          <w:szCs w:val="22"/>
        </w:rPr>
        <w:tab/>
      </w:r>
    </w:p>
    <w:p w14:paraId="6ADD4293" w14:textId="02B21C05" w:rsidR="00C41602" w:rsidRPr="00F23E0C" w:rsidRDefault="00C41602" w:rsidP="00C41602">
      <w:pPr>
        <w:pStyle w:val="Default"/>
        <w:numPr>
          <w:ilvl w:val="1"/>
          <w:numId w:val="3"/>
        </w:numPr>
        <w:tabs>
          <w:tab w:val="left" w:leader="underscore" w:pos="9072"/>
        </w:tabs>
        <w:rPr>
          <w:rFonts w:ascii="Titillium" w:hAnsi="Titillium"/>
          <w:color w:val="auto"/>
          <w:sz w:val="22"/>
          <w:szCs w:val="22"/>
        </w:rPr>
      </w:pPr>
      <w:r>
        <w:rPr>
          <w:rFonts w:ascii="Titillium" w:hAnsi="Titillium" w:cs="Garamond"/>
          <w:color w:val="auto"/>
          <w:sz w:val="22"/>
          <w:szCs w:val="22"/>
        </w:rPr>
        <w:t xml:space="preserve">Elementi identificativi della domanda di qualificazione registrata (la registrazione della domanda ordinaria, nei rispettivi settori, è prodromica alla presentazione della </w:t>
      </w:r>
      <w:r w:rsidR="0007348D">
        <w:rPr>
          <w:rFonts w:ascii="Titillium" w:hAnsi="Titillium" w:cs="Garamond"/>
          <w:color w:val="auto"/>
          <w:sz w:val="22"/>
          <w:szCs w:val="22"/>
        </w:rPr>
        <w:t>richiesta di qualificazione con riserva</w:t>
      </w:r>
      <w:r>
        <w:rPr>
          <w:rFonts w:ascii="Titillium" w:hAnsi="Titillium" w:cs="Garamond"/>
          <w:color w:val="auto"/>
          <w:sz w:val="22"/>
          <w:szCs w:val="22"/>
        </w:rPr>
        <w:t>):</w:t>
      </w:r>
    </w:p>
    <w:p w14:paraId="454FEC7A" w14:textId="77777777" w:rsidR="00C41602" w:rsidRPr="00F23E0C" w:rsidRDefault="00C41602" w:rsidP="00C41602">
      <w:pPr>
        <w:pStyle w:val="Default"/>
        <w:numPr>
          <w:ilvl w:val="0"/>
          <w:numId w:val="42"/>
        </w:numPr>
        <w:tabs>
          <w:tab w:val="left" w:leader="underscore" w:pos="9072"/>
        </w:tabs>
        <w:rPr>
          <w:rFonts w:ascii="Titillium" w:hAnsi="Titillium"/>
          <w:color w:val="auto"/>
          <w:sz w:val="22"/>
          <w:szCs w:val="22"/>
        </w:rPr>
      </w:pPr>
      <w:r>
        <w:rPr>
          <w:rFonts w:ascii="Titillium" w:hAnsi="Titillium" w:cs="Garamond"/>
          <w:color w:val="auto"/>
          <w:sz w:val="22"/>
          <w:szCs w:val="22"/>
        </w:rPr>
        <w:t>Settore Lavori: ID istanza – numero richiesta</w:t>
      </w:r>
    </w:p>
    <w:p w14:paraId="262FCD87" w14:textId="77777777" w:rsidR="00C41602" w:rsidRPr="00DD446F" w:rsidRDefault="00C41602" w:rsidP="00C41602">
      <w:pPr>
        <w:pStyle w:val="Default"/>
        <w:numPr>
          <w:ilvl w:val="0"/>
          <w:numId w:val="42"/>
        </w:numPr>
        <w:tabs>
          <w:tab w:val="left" w:leader="underscore" w:pos="9072"/>
        </w:tabs>
        <w:rPr>
          <w:rFonts w:ascii="Titillium" w:hAnsi="Titillium"/>
          <w:color w:val="auto"/>
          <w:sz w:val="22"/>
          <w:szCs w:val="22"/>
        </w:rPr>
      </w:pPr>
      <w:r>
        <w:rPr>
          <w:rFonts w:ascii="Titillium" w:hAnsi="Titillium" w:cs="Garamond"/>
          <w:color w:val="auto"/>
          <w:sz w:val="22"/>
          <w:szCs w:val="22"/>
        </w:rPr>
        <w:t>Settore Servizi e Forniture: ID istanza – numero richiesta</w:t>
      </w:r>
    </w:p>
    <w:p w14:paraId="12EC7948" w14:textId="77777777" w:rsidR="00C41602" w:rsidRPr="00DD446F" w:rsidRDefault="00C41602" w:rsidP="00C41602">
      <w:pPr>
        <w:pStyle w:val="Default"/>
        <w:tabs>
          <w:tab w:val="left" w:leader="underscore" w:pos="9072"/>
        </w:tabs>
        <w:rPr>
          <w:rFonts w:ascii="Titillium" w:hAnsi="Titillium"/>
          <w:color w:val="auto"/>
          <w:sz w:val="22"/>
          <w:szCs w:val="22"/>
        </w:rPr>
      </w:pPr>
    </w:p>
    <w:p w14:paraId="14F56C57" w14:textId="77777777" w:rsidR="00C41602" w:rsidRPr="00DD446F" w:rsidRDefault="00C41602" w:rsidP="00C41602">
      <w:pPr>
        <w:pStyle w:val="Default"/>
        <w:rPr>
          <w:rFonts w:ascii="Titillium" w:hAnsi="Titillium" w:cs="Garamond"/>
          <w:b/>
          <w:bCs/>
          <w:color w:val="auto"/>
          <w:sz w:val="22"/>
          <w:szCs w:val="22"/>
        </w:rPr>
      </w:pPr>
    </w:p>
    <w:p w14:paraId="264A0D63" w14:textId="77777777" w:rsidR="00C41602" w:rsidRPr="00DD446F" w:rsidRDefault="00C41602" w:rsidP="00C41602">
      <w:pPr>
        <w:pStyle w:val="Default"/>
        <w:numPr>
          <w:ilvl w:val="0"/>
          <w:numId w:val="3"/>
        </w:numPr>
        <w:tabs>
          <w:tab w:val="left" w:pos="1276"/>
          <w:tab w:val="left" w:leader="dot" w:pos="9072"/>
        </w:tabs>
        <w:ind w:right="566"/>
        <w:rPr>
          <w:rFonts w:ascii="Titillium" w:hAnsi="Titillium" w:cs="Garamond"/>
          <w:b/>
          <w:color w:val="2E74B5" w:themeColor="accent1" w:themeShade="BF"/>
          <w:sz w:val="22"/>
          <w:szCs w:val="22"/>
        </w:rPr>
      </w:pPr>
      <w:r w:rsidRPr="00DD446F">
        <w:rPr>
          <w:rFonts w:ascii="Titillium" w:hAnsi="Titillium" w:cs="Garamond"/>
          <w:b/>
          <w:color w:val="2E74B5" w:themeColor="accent1" w:themeShade="BF"/>
          <w:sz w:val="22"/>
          <w:szCs w:val="22"/>
        </w:rPr>
        <w:t>Responsabile per l’Anagrafe Unica (RASA)</w:t>
      </w:r>
    </w:p>
    <w:p w14:paraId="01F06942" w14:textId="77777777" w:rsidR="00C41602" w:rsidRPr="00DD446F" w:rsidRDefault="00C41602" w:rsidP="00C41602">
      <w:pPr>
        <w:pStyle w:val="Default"/>
        <w:numPr>
          <w:ilvl w:val="1"/>
          <w:numId w:val="3"/>
        </w:numPr>
        <w:tabs>
          <w:tab w:val="left" w:leader="dot" w:pos="9072"/>
        </w:tabs>
        <w:rPr>
          <w:rFonts w:ascii="Titillium" w:hAnsi="Titillium" w:cs="Garamond"/>
          <w:color w:val="auto"/>
          <w:sz w:val="22"/>
          <w:szCs w:val="22"/>
        </w:rPr>
      </w:pPr>
      <w:r w:rsidRPr="00DD446F">
        <w:rPr>
          <w:rFonts w:ascii="Titillium" w:hAnsi="Titillium"/>
          <w:color w:val="auto"/>
          <w:sz w:val="22"/>
          <w:szCs w:val="22"/>
          <w:shd w:val="clear" w:color="auto" w:fill="FFFFFF"/>
        </w:rPr>
        <w:t>Responsabile per l'Anagrafe Unica (</w:t>
      </w:r>
      <w:r w:rsidRPr="00DD446F">
        <w:rPr>
          <w:rStyle w:val="Enfasicorsivo"/>
          <w:rFonts w:ascii="Titillium" w:hAnsi="Titillium"/>
          <w:bCs/>
          <w:i w:val="0"/>
          <w:iCs w:val="0"/>
          <w:color w:val="auto"/>
          <w:sz w:val="22"/>
          <w:szCs w:val="22"/>
          <w:shd w:val="clear" w:color="auto" w:fill="FFFFFF"/>
        </w:rPr>
        <w:t>RASA</w:t>
      </w:r>
      <w:r w:rsidRPr="00DD446F">
        <w:rPr>
          <w:rFonts w:ascii="Titillium" w:hAnsi="Titillium"/>
          <w:color w:val="auto"/>
          <w:sz w:val="22"/>
          <w:szCs w:val="22"/>
          <w:shd w:val="clear" w:color="auto" w:fill="FFFFFF"/>
        </w:rPr>
        <w:t>)</w:t>
      </w:r>
      <w:r w:rsidRPr="00DD446F">
        <w:rPr>
          <w:rFonts w:ascii="Calibri" w:hAnsi="Calibri" w:cs="Calibri"/>
          <w:color w:val="auto"/>
          <w:sz w:val="22"/>
          <w:szCs w:val="22"/>
          <w:shd w:val="clear" w:color="auto" w:fill="FFFFFF"/>
        </w:rPr>
        <w:t> </w:t>
      </w:r>
      <w:r w:rsidRPr="00DD446F">
        <w:rPr>
          <w:rFonts w:ascii="Titillium" w:hAnsi="Titillium" w:cs="Garamond"/>
          <w:color w:val="auto"/>
          <w:sz w:val="22"/>
          <w:szCs w:val="22"/>
        </w:rPr>
        <w:t>________________________________</w:t>
      </w:r>
    </w:p>
    <w:p w14:paraId="7F02B7BA" w14:textId="77777777" w:rsidR="00C41602" w:rsidRPr="00DD446F" w:rsidRDefault="00C41602" w:rsidP="00C41602">
      <w:pPr>
        <w:pStyle w:val="Default"/>
        <w:numPr>
          <w:ilvl w:val="1"/>
          <w:numId w:val="3"/>
        </w:numPr>
        <w:tabs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DD446F">
        <w:rPr>
          <w:rFonts w:ascii="Titillium" w:hAnsi="Titillium" w:cs="Garamond"/>
          <w:color w:val="auto"/>
          <w:sz w:val="22"/>
          <w:szCs w:val="22"/>
        </w:rPr>
        <w:t>Nome e Cognome</w:t>
      </w:r>
      <w:r w:rsidRPr="00DD446F">
        <w:rPr>
          <w:rFonts w:ascii="Titillium" w:hAnsi="Titillium" w:cs="Garamond"/>
          <w:color w:val="auto"/>
          <w:sz w:val="22"/>
          <w:szCs w:val="22"/>
        </w:rPr>
        <w:tab/>
      </w:r>
    </w:p>
    <w:p w14:paraId="264F67F7" w14:textId="77777777" w:rsidR="00C41602" w:rsidRPr="00DD446F" w:rsidRDefault="00C41602" w:rsidP="00C41602">
      <w:pPr>
        <w:pStyle w:val="Default"/>
        <w:numPr>
          <w:ilvl w:val="1"/>
          <w:numId w:val="3"/>
        </w:numPr>
        <w:tabs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DD446F">
        <w:rPr>
          <w:rFonts w:ascii="Titillium" w:hAnsi="Titillium" w:cs="Garamond"/>
          <w:color w:val="auto"/>
          <w:sz w:val="22"/>
          <w:szCs w:val="22"/>
        </w:rPr>
        <w:t>N. Telefono</w:t>
      </w:r>
      <w:r w:rsidRPr="00DD446F">
        <w:rPr>
          <w:rFonts w:ascii="Titillium" w:hAnsi="Titillium" w:cs="Garamond"/>
          <w:color w:val="auto"/>
          <w:sz w:val="22"/>
          <w:szCs w:val="22"/>
        </w:rPr>
        <w:tab/>
      </w:r>
    </w:p>
    <w:p w14:paraId="4F542FD8" w14:textId="77777777" w:rsidR="00C41602" w:rsidRPr="00DD446F" w:rsidRDefault="00C41602" w:rsidP="00C41602">
      <w:pPr>
        <w:pStyle w:val="Default"/>
        <w:numPr>
          <w:ilvl w:val="1"/>
          <w:numId w:val="3"/>
        </w:numPr>
        <w:tabs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DD446F">
        <w:rPr>
          <w:rFonts w:ascii="Titillium" w:hAnsi="Titillium" w:cs="Garamond"/>
          <w:color w:val="auto"/>
          <w:sz w:val="22"/>
          <w:szCs w:val="22"/>
        </w:rPr>
        <w:t>PEC</w:t>
      </w:r>
      <w:r w:rsidRPr="00DD446F">
        <w:rPr>
          <w:rFonts w:ascii="Titillium" w:hAnsi="Titillium" w:cs="Garamond"/>
          <w:color w:val="auto"/>
          <w:sz w:val="22"/>
          <w:szCs w:val="22"/>
        </w:rPr>
        <w:tab/>
      </w:r>
      <w:r w:rsidRPr="00DD446F">
        <w:rPr>
          <w:rFonts w:ascii="Titillium" w:hAnsi="Titillium" w:cs="Garamond"/>
          <w:color w:val="auto"/>
          <w:sz w:val="22"/>
          <w:szCs w:val="22"/>
        </w:rPr>
        <w:tab/>
      </w:r>
    </w:p>
    <w:p w14:paraId="6BBC4563" w14:textId="77777777" w:rsidR="00C41602" w:rsidRPr="006A2323" w:rsidRDefault="00C41602" w:rsidP="00C41602">
      <w:pPr>
        <w:pStyle w:val="Default"/>
        <w:numPr>
          <w:ilvl w:val="1"/>
          <w:numId w:val="3"/>
        </w:numPr>
        <w:tabs>
          <w:tab w:val="left" w:pos="1418"/>
          <w:tab w:val="left" w:leader="underscore" w:pos="9072"/>
        </w:tabs>
        <w:rPr>
          <w:rFonts w:ascii="Titillium" w:hAnsi="Titillium" w:cs="Garamond"/>
          <w:color w:val="auto"/>
          <w:sz w:val="22"/>
          <w:szCs w:val="22"/>
        </w:rPr>
      </w:pPr>
      <w:r w:rsidRPr="00DD446F">
        <w:rPr>
          <w:rFonts w:ascii="Titillium" w:hAnsi="Titillium" w:cs="Garamond"/>
          <w:color w:val="auto"/>
          <w:sz w:val="22"/>
          <w:szCs w:val="22"/>
        </w:rPr>
        <w:t>E-mail</w:t>
      </w:r>
      <w:r w:rsidRPr="00DD446F">
        <w:rPr>
          <w:rFonts w:ascii="Titillium" w:hAnsi="Titillium" w:cs="Garamond"/>
          <w:color w:val="auto"/>
          <w:sz w:val="22"/>
          <w:szCs w:val="22"/>
        </w:rPr>
        <w:tab/>
      </w:r>
      <w:r w:rsidRPr="00DD446F">
        <w:rPr>
          <w:rFonts w:ascii="Titillium" w:hAnsi="Titillium" w:cs="Garamond"/>
          <w:color w:val="auto"/>
          <w:sz w:val="22"/>
          <w:szCs w:val="22"/>
        </w:rPr>
        <w:tab/>
      </w:r>
    </w:p>
    <w:p w14:paraId="30BED197" w14:textId="77777777" w:rsidR="00C41602" w:rsidRDefault="00C41602" w:rsidP="00C41602">
      <w:pPr>
        <w:pStyle w:val="Paragrafoelenco"/>
        <w:rPr>
          <w:rFonts w:ascii="Titillium" w:hAnsi="Titillium"/>
          <w:b/>
          <w:bCs/>
          <w:color w:val="0070C0"/>
        </w:rPr>
      </w:pPr>
    </w:p>
    <w:p w14:paraId="237B539E" w14:textId="77777777" w:rsidR="00C41602" w:rsidRPr="00207941" w:rsidRDefault="00C41602" w:rsidP="00C41602">
      <w:pPr>
        <w:pStyle w:val="Paragrafoelenco"/>
        <w:ind w:left="284"/>
        <w:rPr>
          <w:rFonts w:ascii="Titillium" w:hAnsi="Titillium"/>
          <w:b/>
          <w:bCs/>
          <w:color w:val="0070C0"/>
        </w:rPr>
      </w:pPr>
      <w:r w:rsidRPr="00207941">
        <w:rPr>
          <w:rFonts w:ascii="Titillium" w:hAnsi="Titillium"/>
          <w:b/>
          <w:bCs/>
          <w:color w:val="0070C0"/>
        </w:rPr>
        <w:t xml:space="preserve">Documentazione da allegare </w:t>
      </w:r>
      <w:r>
        <w:rPr>
          <w:rFonts w:ascii="Titillium" w:hAnsi="Titillium"/>
          <w:b/>
          <w:bCs/>
          <w:color w:val="0070C0"/>
        </w:rPr>
        <w:t>ai fini della</w:t>
      </w:r>
      <w:r w:rsidRPr="00207941">
        <w:rPr>
          <w:rFonts w:ascii="Titillium" w:hAnsi="Titillium"/>
          <w:b/>
          <w:bCs/>
          <w:color w:val="0070C0"/>
        </w:rPr>
        <w:t xml:space="preserve"> procedibilità della domanda: </w:t>
      </w:r>
    </w:p>
    <w:tbl>
      <w:tblPr>
        <w:tblStyle w:val="Grigliatabella"/>
        <w:tblW w:w="921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073"/>
        <w:gridCol w:w="4141"/>
      </w:tblGrid>
      <w:tr w:rsidR="00C41602" w14:paraId="4C6B5BBC" w14:textId="77777777" w:rsidTr="0055312E">
        <w:tc>
          <w:tcPr>
            <w:tcW w:w="5073" w:type="dxa"/>
          </w:tcPr>
          <w:p w14:paraId="4D438BFF" w14:textId="77777777" w:rsidR="00C41602" w:rsidRDefault="00C41602" w:rsidP="0055312E">
            <w:pPr>
              <w:pStyle w:val="Default"/>
              <w:tabs>
                <w:tab w:val="left" w:leader="underscore" w:pos="9072"/>
              </w:tabs>
              <w:rPr>
                <w:rFonts w:ascii="Titillium" w:hAnsi="Titillium"/>
              </w:rPr>
            </w:pPr>
            <w:r w:rsidRPr="00DD446F">
              <w:rPr>
                <w:rFonts w:ascii="Titillium" w:hAnsi="Titillium" w:cs="Garamond"/>
                <w:color w:val="auto"/>
                <w:sz w:val="22"/>
                <w:szCs w:val="22"/>
              </w:rPr>
              <w:t>Atto costitutivo</w:t>
            </w:r>
            <w:r>
              <w:rPr>
                <w:rFonts w:ascii="Titillium" w:hAnsi="Titillium" w:cs="Garamond"/>
                <w:color w:val="auto"/>
                <w:sz w:val="22"/>
                <w:szCs w:val="22"/>
              </w:rPr>
              <w:t xml:space="preserve"> -S</w:t>
            </w:r>
            <w:r w:rsidRPr="00DD446F">
              <w:rPr>
                <w:rFonts w:ascii="Titillium" w:hAnsi="Titillium" w:cs="Garamond"/>
                <w:color w:val="auto"/>
                <w:sz w:val="22"/>
                <w:szCs w:val="22"/>
              </w:rPr>
              <w:t>tatuto</w:t>
            </w:r>
            <w:r>
              <w:rPr>
                <w:rFonts w:ascii="Titillium" w:hAnsi="Titillium" w:cs="Garamond"/>
                <w:color w:val="auto"/>
                <w:sz w:val="22"/>
                <w:szCs w:val="22"/>
              </w:rPr>
              <w:t xml:space="preserve"> – Convenzione -Accordi</w:t>
            </w:r>
            <w:r w:rsidRPr="00DD446F">
              <w:rPr>
                <w:rFonts w:ascii="Titillium" w:hAnsi="Titillium" w:cs="Garamond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tillium" w:hAnsi="Titillium" w:cs="Garamond"/>
                <w:color w:val="auto"/>
                <w:sz w:val="22"/>
                <w:szCs w:val="22"/>
              </w:rPr>
              <w:t>(sono esclusi gli enti territoriali che richiedono la qualificazione con riserva come Stazione appaltante)</w:t>
            </w:r>
          </w:p>
        </w:tc>
        <w:tc>
          <w:tcPr>
            <w:tcW w:w="4141" w:type="dxa"/>
          </w:tcPr>
          <w:p w14:paraId="335E86EF" w14:textId="05E9B088" w:rsidR="00C41602" w:rsidRPr="00207941" w:rsidRDefault="00C41602" w:rsidP="0055312E">
            <w:pPr>
              <w:pStyle w:val="Default"/>
              <w:tabs>
                <w:tab w:val="left" w:leader="underscore" w:pos="9072"/>
              </w:tabs>
              <w:jc w:val="both"/>
              <w:rPr>
                <w:rFonts w:ascii="Titillium" w:hAnsi="Titillium"/>
                <w:sz w:val="22"/>
                <w:szCs w:val="22"/>
              </w:rPr>
            </w:pPr>
            <w:r>
              <w:rPr>
                <w:rFonts w:ascii="Titillium" w:hAnsi="Titillium"/>
                <w:sz w:val="22"/>
                <w:szCs w:val="22"/>
              </w:rPr>
              <w:t xml:space="preserve">Nel caso delle centrali di committenza e di Unione di comuni nella domanda di qualificazione ordinaria andranno </w:t>
            </w:r>
            <w:r w:rsidR="0007348D">
              <w:rPr>
                <w:rFonts w:ascii="Titillium" w:hAnsi="Titillium"/>
                <w:sz w:val="22"/>
                <w:szCs w:val="22"/>
              </w:rPr>
              <w:t>registrati nel sistema di qualificazione i</w:t>
            </w:r>
            <w:r>
              <w:rPr>
                <w:rFonts w:ascii="Titillium" w:hAnsi="Titillium"/>
                <w:sz w:val="22"/>
                <w:szCs w:val="22"/>
              </w:rPr>
              <w:t xml:space="preserve"> </w:t>
            </w:r>
            <w:r w:rsidRPr="00DD446F">
              <w:rPr>
                <w:rFonts w:ascii="Titillium" w:hAnsi="Titillium"/>
                <w:sz w:val="22"/>
                <w:szCs w:val="22"/>
              </w:rPr>
              <w:t>codic</w:t>
            </w:r>
            <w:r>
              <w:rPr>
                <w:rFonts w:ascii="Titillium" w:hAnsi="Titillium"/>
                <w:sz w:val="22"/>
                <w:szCs w:val="22"/>
              </w:rPr>
              <w:t>i</w:t>
            </w:r>
            <w:r w:rsidRPr="00DD446F">
              <w:rPr>
                <w:rFonts w:ascii="Titillium" w:hAnsi="Titillium"/>
                <w:sz w:val="22"/>
                <w:szCs w:val="22"/>
              </w:rPr>
              <w:t xml:space="preserve"> fiscal</w:t>
            </w:r>
            <w:r>
              <w:rPr>
                <w:rFonts w:ascii="Titillium" w:hAnsi="Titillium"/>
                <w:sz w:val="22"/>
                <w:szCs w:val="22"/>
              </w:rPr>
              <w:t>i</w:t>
            </w:r>
            <w:r w:rsidRPr="00DD446F">
              <w:rPr>
                <w:rFonts w:ascii="Titillium" w:hAnsi="Titillium"/>
                <w:sz w:val="22"/>
                <w:szCs w:val="22"/>
              </w:rPr>
              <w:t xml:space="preserve"> delle amministrazioni convenzionate</w:t>
            </w:r>
            <w:r>
              <w:rPr>
                <w:rFonts w:ascii="Titillium" w:hAnsi="Titillium"/>
                <w:sz w:val="22"/>
                <w:szCs w:val="22"/>
              </w:rPr>
              <w:t>.</w:t>
            </w:r>
          </w:p>
        </w:tc>
      </w:tr>
      <w:tr w:rsidR="00C41602" w14:paraId="539D9B59" w14:textId="77777777" w:rsidTr="0055312E">
        <w:tc>
          <w:tcPr>
            <w:tcW w:w="5073" w:type="dxa"/>
          </w:tcPr>
          <w:p w14:paraId="77C6998C" w14:textId="77777777" w:rsidR="00C41602" w:rsidRDefault="00C41602" w:rsidP="0055312E">
            <w:pPr>
              <w:pStyle w:val="Paragrafoelenco"/>
              <w:ind w:left="0"/>
              <w:jc w:val="both"/>
              <w:rPr>
                <w:rFonts w:ascii="Titillium" w:hAnsi="Titillium"/>
              </w:rPr>
            </w:pPr>
            <w:r>
              <w:rPr>
                <w:rFonts w:ascii="Titillium" w:hAnsi="Titillium"/>
              </w:rPr>
              <w:t>Programma lavori ritualmente approvato nelle forme previste dalla legislazione vigente</w:t>
            </w:r>
          </w:p>
        </w:tc>
        <w:tc>
          <w:tcPr>
            <w:tcW w:w="4141" w:type="dxa"/>
          </w:tcPr>
          <w:p w14:paraId="18FD972F" w14:textId="774356A6" w:rsidR="00C41602" w:rsidRDefault="00C41602" w:rsidP="0055312E">
            <w:pPr>
              <w:pStyle w:val="Paragrafoelenco"/>
              <w:ind w:left="0"/>
              <w:jc w:val="both"/>
              <w:rPr>
                <w:rFonts w:ascii="Titillium" w:hAnsi="Titillium"/>
              </w:rPr>
            </w:pPr>
            <w:r>
              <w:rPr>
                <w:rFonts w:ascii="Titillium" w:hAnsi="Titillium"/>
              </w:rPr>
              <w:t>Da produrre solo in caso di richiesta per il relativo settore di qualificazione – per le centrali di committenza allegare programmazione enti convenzionati</w:t>
            </w:r>
          </w:p>
        </w:tc>
      </w:tr>
      <w:tr w:rsidR="00C41602" w14:paraId="1295E839" w14:textId="77777777" w:rsidTr="0055312E">
        <w:tc>
          <w:tcPr>
            <w:tcW w:w="5073" w:type="dxa"/>
          </w:tcPr>
          <w:p w14:paraId="605D84CA" w14:textId="77777777" w:rsidR="00C41602" w:rsidRDefault="00C41602" w:rsidP="0055312E">
            <w:pPr>
              <w:pStyle w:val="Paragrafoelenco"/>
              <w:ind w:left="0"/>
              <w:jc w:val="both"/>
              <w:rPr>
                <w:rFonts w:ascii="Titillium" w:hAnsi="Titillium"/>
              </w:rPr>
            </w:pPr>
            <w:r>
              <w:rPr>
                <w:rFonts w:ascii="Titillium" w:hAnsi="Titillium"/>
              </w:rPr>
              <w:t>Programma servizi e forniture ritualmente approvato nelle forme previste dalla legislazione vigente</w:t>
            </w:r>
          </w:p>
        </w:tc>
        <w:tc>
          <w:tcPr>
            <w:tcW w:w="4141" w:type="dxa"/>
          </w:tcPr>
          <w:p w14:paraId="7EBC22F4" w14:textId="04FC88E3" w:rsidR="00C41602" w:rsidRDefault="00C41602" w:rsidP="0055312E">
            <w:pPr>
              <w:pStyle w:val="Paragrafoelenco"/>
              <w:ind w:left="0"/>
              <w:jc w:val="both"/>
              <w:rPr>
                <w:rFonts w:ascii="Titillium" w:hAnsi="Titillium"/>
              </w:rPr>
            </w:pPr>
            <w:r>
              <w:rPr>
                <w:rFonts w:ascii="Titillium" w:hAnsi="Titillium"/>
              </w:rPr>
              <w:t xml:space="preserve">Da produrre solo in caso di richiesta per il relativo settore di qualificazione - per le </w:t>
            </w:r>
            <w:r>
              <w:rPr>
                <w:rFonts w:ascii="Titillium" w:hAnsi="Titillium"/>
              </w:rPr>
              <w:lastRenderedPageBreak/>
              <w:t>centrali di committenza allegare programmazione enti convenzionati</w:t>
            </w:r>
          </w:p>
        </w:tc>
      </w:tr>
      <w:tr w:rsidR="00C41602" w14:paraId="67DCC504" w14:textId="77777777" w:rsidTr="0055312E">
        <w:tc>
          <w:tcPr>
            <w:tcW w:w="5073" w:type="dxa"/>
          </w:tcPr>
          <w:p w14:paraId="1BFA96AB" w14:textId="2F63086A" w:rsidR="00C41602" w:rsidRPr="006A2323" w:rsidRDefault="00C41602" w:rsidP="0055312E">
            <w:pPr>
              <w:pStyle w:val="Default"/>
              <w:tabs>
                <w:tab w:val="left" w:pos="1276"/>
                <w:tab w:val="left" w:leader="dot" w:pos="9072"/>
              </w:tabs>
              <w:jc w:val="both"/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</w:pPr>
            <w:r w:rsidRPr="006A2323"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  <w:lastRenderedPageBreak/>
              <w:t>Relazione della SA/CC contente la motivazione analitica delle ragioni poste a sostegno della richiesta di qualificazione con riserva</w:t>
            </w:r>
            <w:r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  <w:t>.</w:t>
            </w:r>
          </w:p>
          <w:p w14:paraId="68A4E5D5" w14:textId="77777777" w:rsidR="009119C6" w:rsidRDefault="00C41602" w:rsidP="0055312E">
            <w:pPr>
              <w:pStyle w:val="Default"/>
              <w:tabs>
                <w:tab w:val="left" w:pos="1276"/>
                <w:tab w:val="left" w:leader="dot" w:pos="9072"/>
              </w:tabs>
              <w:jc w:val="both"/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</w:pPr>
            <w:r w:rsidRPr="006A2323"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  <w:t>In particolare</w:t>
            </w:r>
            <w:r w:rsidR="009119C6"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  <w:t>:</w:t>
            </w:r>
          </w:p>
          <w:p w14:paraId="7772EE4B" w14:textId="5815379B" w:rsidR="00C41602" w:rsidRPr="006A2323" w:rsidRDefault="009119C6" w:rsidP="0055312E">
            <w:pPr>
              <w:pStyle w:val="Default"/>
              <w:tabs>
                <w:tab w:val="left" w:pos="1276"/>
                <w:tab w:val="left" w:leader="dot" w:pos="9072"/>
              </w:tabs>
              <w:jc w:val="both"/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</w:pPr>
            <w:r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  <w:t>-</w:t>
            </w:r>
            <w:r w:rsidR="00C41602" w:rsidRPr="006A2323"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  <w:t xml:space="preserve"> </w:t>
            </w:r>
            <w:r w:rsidRPr="006A2323"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  <w:t>d</w:t>
            </w:r>
            <w:r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  <w:t>evono</w:t>
            </w:r>
            <w:r w:rsidRPr="006A2323"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  <w:t xml:space="preserve"> </w:t>
            </w:r>
            <w:r w:rsidR="00C41602" w:rsidRPr="006A2323"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  <w:t>essere analizzate le carenze emerse in relazione al punteggio raggiunto nelle diverse sezioni</w:t>
            </w:r>
            <w:r w:rsidR="00C41602"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  <w:t xml:space="preserve"> contenute all’interno della domanda di qualificazione presentata</w:t>
            </w:r>
            <w:r w:rsidR="00C41602" w:rsidRPr="006A2323"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  <w:t xml:space="preserve"> (Presenza nella struttura organizzativa di dipendenti aventi</w:t>
            </w:r>
            <w:r w:rsidR="00C41602"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  <w:t xml:space="preserve"> </w:t>
            </w:r>
            <w:r w:rsidR="00C41602" w:rsidRPr="006A2323"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  <w:t>specifiche competenze in materia di contratti pubblici e di sistemi digitali –</w:t>
            </w:r>
            <w:r w:rsidR="00C41602"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  <w:t xml:space="preserve"> </w:t>
            </w:r>
            <w:r w:rsidR="00C41602" w:rsidRPr="006A2323"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  <w:t xml:space="preserve">Sistema di formazione e aggiornamento del personale - </w:t>
            </w:r>
            <w:r w:rsidR="00C41602" w:rsidRPr="006A2323">
              <w:rPr>
                <w:rFonts w:ascii="Titillium" w:hAnsi="Titillium" w:cs="Garamond"/>
                <w:bCs/>
                <w:sz w:val="22"/>
                <w:szCs w:val="22"/>
              </w:rPr>
              <w:t>Assolvimento degli obblighi di comunicazione dei dati sui contratti pubblici che alimentano le banche dati detenute o gestite</w:t>
            </w:r>
            <w:r w:rsidR="00C41602"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  <w:t xml:space="preserve"> </w:t>
            </w:r>
            <w:r w:rsidR="00C41602" w:rsidRPr="006A2323"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  <w:t>dall'ANAC).</w:t>
            </w:r>
          </w:p>
          <w:p w14:paraId="3B74B91F" w14:textId="01F154ED" w:rsidR="00C41602" w:rsidRDefault="009119C6" w:rsidP="00715F3B">
            <w:pPr>
              <w:pStyle w:val="Default"/>
              <w:tabs>
                <w:tab w:val="left" w:pos="1276"/>
                <w:tab w:val="left" w:leader="dot" w:pos="9072"/>
              </w:tabs>
              <w:jc w:val="both"/>
            </w:pPr>
            <w:r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  <w:t xml:space="preserve">- </w:t>
            </w:r>
            <w:r w:rsidR="00C41602" w:rsidRPr="006A2323"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  <w:t>d</w:t>
            </w:r>
            <w:r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  <w:t>evono</w:t>
            </w:r>
            <w:r w:rsidR="00C41602" w:rsidRPr="006A2323"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  <w:t xml:space="preserve"> essere evidenziate e documentate le azioni correttive attuate</w:t>
            </w:r>
            <w:r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  <w:t xml:space="preserve"> e </w:t>
            </w:r>
            <w:r w:rsidR="00C41602" w:rsidRPr="006A2323"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  <w:t>programmate per il superamento delle</w:t>
            </w:r>
            <w:r w:rsidR="00C41602"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  <w:t xml:space="preserve"> predette</w:t>
            </w:r>
            <w:r w:rsidR="00C41602" w:rsidRPr="006A2323"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  <w:t xml:space="preserve"> criticità</w:t>
            </w:r>
            <w:r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  <w:t>, indicando le</w:t>
            </w:r>
            <w:r w:rsidR="00C41602"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  <w:t xml:space="preserve"> </w:t>
            </w:r>
            <w:r w:rsidR="00C41602" w:rsidRPr="006A2323">
              <w:rPr>
                <w:rFonts w:ascii="Titillium" w:hAnsi="Titillium" w:cs="Garamond"/>
                <w:bCs/>
                <w:color w:val="auto"/>
                <w:sz w:val="22"/>
                <w:szCs w:val="22"/>
              </w:rPr>
              <w:t xml:space="preserve">relative tempistiche di attuazione.  </w:t>
            </w:r>
          </w:p>
        </w:tc>
        <w:tc>
          <w:tcPr>
            <w:tcW w:w="4141" w:type="dxa"/>
          </w:tcPr>
          <w:p w14:paraId="07EE9BD4" w14:textId="77777777" w:rsidR="00C41602" w:rsidRDefault="00C41602" w:rsidP="0055312E">
            <w:pPr>
              <w:pStyle w:val="Paragrafoelenco"/>
              <w:ind w:left="0"/>
              <w:rPr>
                <w:rFonts w:ascii="Titillium" w:hAnsi="Titillium"/>
              </w:rPr>
            </w:pPr>
          </w:p>
        </w:tc>
      </w:tr>
      <w:tr w:rsidR="00C41602" w14:paraId="415B3A5F" w14:textId="77777777" w:rsidTr="0055312E">
        <w:tc>
          <w:tcPr>
            <w:tcW w:w="5073" w:type="dxa"/>
          </w:tcPr>
          <w:p w14:paraId="1B7F22B7" w14:textId="77777777" w:rsidR="00C41602" w:rsidRDefault="00C41602" w:rsidP="0055312E">
            <w:pPr>
              <w:pStyle w:val="Paragrafoelenco"/>
              <w:ind w:left="0"/>
              <w:rPr>
                <w:rFonts w:ascii="Titillium" w:hAnsi="Titillium"/>
              </w:rPr>
            </w:pPr>
            <w:r>
              <w:rPr>
                <w:rFonts w:ascii="Titillium" w:hAnsi="Titillium"/>
              </w:rPr>
              <w:t>Documento identità e codice fiscale del dichiarante</w:t>
            </w:r>
          </w:p>
        </w:tc>
        <w:tc>
          <w:tcPr>
            <w:tcW w:w="4141" w:type="dxa"/>
          </w:tcPr>
          <w:p w14:paraId="77638E69" w14:textId="77777777" w:rsidR="00C41602" w:rsidRDefault="00C41602" w:rsidP="0055312E">
            <w:pPr>
              <w:pStyle w:val="Paragrafoelenco"/>
              <w:ind w:left="0"/>
              <w:rPr>
                <w:rFonts w:ascii="Titillium" w:hAnsi="Titillium"/>
              </w:rPr>
            </w:pPr>
          </w:p>
        </w:tc>
      </w:tr>
      <w:tr w:rsidR="00C41602" w14:paraId="4F888858" w14:textId="77777777" w:rsidTr="0055312E">
        <w:tc>
          <w:tcPr>
            <w:tcW w:w="5073" w:type="dxa"/>
          </w:tcPr>
          <w:p w14:paraId="63DB1B76" w14:textId="77777777" w:rsidR="00C41602" w:rsidRDefault="00C41602" w:rsidP="0055312E">
            <w:pPr>
              <w:pStyle w:val="Paragrafoelenco"/>
              <w:ind w:left="0"/>
              <w:rPr>
                <w:rFonts w:ascii="Titillium" w:hAnsi="Titillium"/>
              </w:rPr>
            </w:pPr>
            <w:r>
              <w:rPr>
                <w:rFonts w:ascii="Titillium" w:hAnsi="Titillium"/>
              </w:rPr>
              <w:t>Indice documenti allegati</w:t>
            </w:r>
          </w:p>
        </w:tc>
        <w:tc>
          <w:tcPr>
            <w:tcW w:w="4141" w:type="dxa"/>
          </w:tcPr>
          <w:p w14:paraId="67B96C9C" w14:textId="77777777" w:rsidR="00C41602" w:rsidRDefault="00C41602" w:rsidP="0055312E">
            <w:pPr>
              <w:pStyle w:val="Paragrafoelenco"/>
              <w:ind w:left="0"/>
              <w:rPr>
                <w:rFonts w:ascii="Titillium" w:hAnsi="Titillium"/>
              </w:rPr>
            </w:pPr>
          </w:p>
        </w:tc>
      </w:tr>
    </w:tbl>
    <w:p w14:paraId="24F1850A" w14:textId="77777777" w:rsidR="00C41602" w:rsidRDefault="00C41602" w:rsidP="002D65EC">
      <w:pPr>
        <w:pStyle w:val="Default"/>
        <w:rPr>
          <w:rFonts w:ascii="Titillium" w:hAnsi="Titillium" w:cs="Garamond"/>
          <w:b/>
          <w:bCs/>
          <w:color w:val="auto"/>
          <w:sz w:val="18"/>
          <w:szCs w:val="18"/>
        </w:rPr>
      </w:pPr>
    </w:p>
    <w:p w14:paraId="316AD3F2" w14:textId="77777777" w:rsidR="005622F2" w:rsidRDefault="005622F2" w:rsidP="002D65EC">
      <w:pPr>
        <w:pStyle w:val="Default"/>
        <w:rPr>
          <w:rFonts w:ascii="Titillium" w:hAnsi="Titillium" w:cs="Garamond"/>
          <w:b/>
          <w:bCs/>
          <w:color w:val="auto"/>
          <w:sz w:val="18"/>
          <w:szCs w:val="18"/>
        </w:rPr>
      </w:pPr>
    </w:p>
    <w:p w14:paraId="393E699B" w14:textId="476717E8" w:rsidR="00C41602" w:rsidRDefault="00C41602" w:rsidP="00C41602">
      <w:pPr>
        <w:spacing w:after="0" w:line="240" w:lineRule="auto"/>
        <w:jc w:val="both"/>
        <w:rPr>
          <w:rFonts w:ascii="Titillium" w:hAnsi="Titillium"/>
        </w:rPr>
      </w:pPr>
      <w:r>
        <w:rPr>
          <w:rFonts w:ascii="Titillium" w:hAnsi="Titillium"/>
        </w:rPr>
        <w:t>La mancata produzione dei documenti, con le correlative informazioni richieste, comporta l’improcedibilità della domanda.</w:t>
      </w:r>
    </w:p>
    <w:p w14:paraId="2A662B96" w14:textId="77777777" w:rsidR="00C41602" w:rsidRDefault="00C41602" w:rsidP="00C41602">
      <w:pPr>
        <w:ind w:right="424"/>
        <w:jc w:val="both"/>
        <w:rPr>
          <w:rFonts w:ascii="Titillium" w:hAnsi="Titillium"/>
        </w:rPr>
      </w:pPr>
    </w:p>
    <w:p w14:paraId="142F54A5" w14:textId="15247BAC" w:rsidR="00C41602" w:rsidRDefault="00C41602" w:rsidP="00C41602">
      <w:pPr>
        <w:ind w:right="424"/>
        <w:jc w:val="right"/>
        <w:rPr>
          <w:rFonts w:ascii="Titillium" w:hAnsi="Titillium"/>
        </w:rPr>
      </w:pPr>
      <w:r>
        <w:rPr>
          <w:rFonts w:ascii="Titillium" w:hAnsi="Titillium"/>
        </w:rPr>
        <w:t xml:space="preserve">Il responsabile del procedimento (o altra figura equivalente)  </w:t>
      </w:r>
    </w:p>
    <w:p w14:paraId="76CEFAEF" w14:textId="0E638031" w:rsidR="00C41602" w:rsidRPr="00A957C8" w:rsidRDefault="00C41602" w:rsidP="00C41602">
      <w:pPr>
        <w:pStyle w:val="Default"/>
        <w:tabs>
          <w:tab w:val="left" w:leader="dot" w:pos="9072"/>
        </w:tabs>
        <w:spacing w:line="276" w:lineRule="auto"/>
        <w:ind w:left="360" w:right="424"/>
        <w:jc w:val="right"/>
        <w:rPr>
          <w:rFonts w:ascii="Titillium" w:hAnsi="Titillium"/>
          <w:sz w:val="22"/>
          <w:szCs w:val="22"/>
        </w:rPr>
      </w:pPr>
      <w:r>
        <w:rPr>
          <w:rFonts w:ascii="Titillium" w:hAnsi="Titillium"/>
          <w:sz w:val="22"/>
          <w:szCs w:val="22"/>
        </w:rPr>
        <w:t>Firma ________________________________</w:t>
      </w:r>
    </w:p>
    <w:p w14:paraId="60007F0C" w14:textId="224C6901" w:rsidR="0034560E" w:rsidRPr="00A957C8" w:rsidRDefault="0034560E" w:rsidP="007C3732">
      <w:pPr>
        <w:pStyle w:val="Default"/>
        <w:tabs>
          <w:tab w:val="left" w:leader="dot" w:pos="9072"/>
        </w:tabs>
        <w:spacing w:line="276" w:lineRule="auto"/>
        <w:ind w:left="360" w:right="424"/>
        <w:jc w:val="right"/>
        <w:rPr>
          <w:rFonts w:ascii="Titillium" w:hAnsi="Titillium"/>
          <w:sz w:val="22"/>
          <w:szCs w:val="22"/>
        </w:rPr>
      </w:pPr>
    </w:p>
    <w:sectPr w:rsidR="0034560E" w:rsidRPr="00A957C8" w:rsidSect="00215C1A">
      <w:footerReference w:type="default" r:id="rId12"/>
      <w:pgSz w:w="11906" w:h="16838"/>
      <w:pgMar w:top="1418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7A09D" w14:textId="77777777" w:rsidR="00D740B0" w:rsidRDefault="00D740B0" w:rsidP="00C86ECE">
      <w:pPr>
        <w:spacing w:after="0" w:line="240" w:lineRule="auto"/>
      </w:pPr>
      <w:r>
        <w:separator/>
      </w:r>
    </w:p>
  </w:endnote>
  <w:endnote w:type="continuationSeparator" w:id="0">
    <w:p w14:paraId="09BB30B4" w14:textId="77777777" w:rsidR="00D740B0" w:rsidRDefault="00D740B0" w:rsidP="00C86ECE">
      <w:pPr>
        <w:spacing w:after="0" w:line="240" w:lineRule="auto"/>
      </w:pPr>
      <w:r>
        <w:continuationSeparator/>
      </w:r>
    </w:p>
  </w:endnote>
  <w:endnote w:type="continuationNotice" w:id="1">
    <w:p w14:paraId="02012867" w14:textId="77777777" w:rsidR="00D740B0" w:rsidRDefault="00D740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6847537"/>
      <w:docPartObj>
        <w:docPartGallery w:val="Page Numbers (Bottom of Page)"/>
        <w:docPartUnique/>
      </w:docPartObj>
    </w:sdtPr>
    <w:sdtContent>
      <w:p w14:paraId="4D9EAE52" w14:textId="1A499BB6" w:rsidR="00EC26A2" w:rsidRDefault="00EC26A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8FC">
          <w:rPr>
            <w:noProof/>
          </w:rPr>
          <w:t>2</w:t>
        </w:r>
        <w:r>
          <w:fldChar w:fldCharType="end"/>
        </w:r>
      </w:p>
    </w:sdtContent>
  </w:sdt>
  <w:p w14:paraId="1F4D2352" w14:textId="77777777" w:rsidR="00EC26A2" w:rsidRDefault="00EC26A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98BFD" w14:textId="77777777" w:rsidR="00D740B0" w:rsidRDefault="00D740B0" w:rsidP="00C86ECE">
      <w:pPr>
        <w:spacing w:after="0" w:line="240" w:lineRule="auto"/>
      </w:pPr>
      <w:r>
        <w:separator/>
      </w:r>
    </w:p>
  </w:footnote>
  <w:footnote w:type="continuationSeparator" w:id="0">
    <w:p w14:paraId="0816A127" w14:textId="77777777" w:rsidR="00D740B0" w:rsidRDefault="00D740B0" w:rsidP="00C86ECE">
      <w:pPr>
        <w:spacing w:after="0" w:line="240" w:lineRule="auto"/>
      </w:pPr>
      <w:r>
        <w:continuationSeparator/>
      </w:r>
    </w:p>
  </w:footnote>
  <w:footnote w:type="continuationNotice" w:id="1">
    <w:p w14:paraId="5D7926E2" w14:textId="77777777" w:rsidR="00D740B0" w:rsidRDefault="00D740B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1FA5"/>
    <w:multiLevelType w:val="hybridMultilevel"/>
    <w:tmpl w:val="6778E2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8E1538"/>
    <w:multiLevelType w:val="hybridMultilevel"/>
    <w:tmpl w:val="41BC55C0"/>
    <w:lvl w:ilvl="0" w:tplc="CA14F9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37DE7"/>
    <w:multiLevelType w:val="multilevel"/>
    <w:tmpl w:val="C6D8E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2C137C2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6BC6081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7DA4EC0"/>
    <w:multiLevelType w:val="hybridMultilevel"/>
    <w:tmpl w:val="9E88552A"/>
    <w:lvl w:ilvl="0" w:tplc="F52AEB22">
      <w:start w:val="1"/>
      <w:numFmt w:val="decimal"/>
      <w:lvlText w:val="2.%1."/>
      <w:lvlJc w:val="left"/>
      <w:pPr>
        <w:ind w:left="19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1AA61AF9"/>
    <w:multiLevelType w:val="multilevel"/>
    <w:tmpl w:val="F05483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7" w15:restartNumberingAfterBreak="0">
    <w:nsid w:val="1AE450CB"/>
    <w:multiLevelType w:val="multilevel"/>
    <w:tmpl w:val="65D05C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6C46A1"/>
    <w:multiLevelType w:val="hybridMultilevel"/>
    <w:tmpl w:val="80C8E8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A36FF7"/>
    <w:multiLevelType w:val="multilevel"/>
    <w:tmpl w:val="31CE01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CE33E9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C574E6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7C209F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F91063E"/>
    <w:multiLevelType w:val="multilevel"/>
    <w:tmpl w:val="C6D8E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06251D"/>
    <w:multiLevelType w:val="hybridMultilevel"/>
    <w:tmpl w:val="4B00D690"/>
    <w:lvl w:ilvl="0" w:tplc="935E02C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12FE6"/>
    <w:multiLevelType w:val="multilevel"/>
    <w:tmpl w:val="C6D8E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1B51938"/>
    <w:multiLevelType w:val="hybridMultilevel"/>
    <w:tmpl w:val="51AA3F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F42EB"/>
    <w:multiLevelType w:val="multilevel"/>
    <w:tmpl w:val="76E478E4"/>
    <w:lvl w:ilvl="0">
      <w:start w:val="1"/>
      <w:numFmt w:val="decimal"/>
      <w:lvlText w:val="1.%1."/>
      <w:lvlJc w:val="left"/>
      <w:pPr>
        <w:ind w:left="15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1440"/>
      </w:pPr>
      <w:rPr>
        <w:rFonts w:hint="default"/>
      </w:rPr>
    </w:lvl>
  </w:abstractNum>
  <w:abstractNum w:abstractNumId="18" w15:restartNumberingAfterBreak="0">
    <w:nsid w:val="38A306D8"/>
    <w:multiLevelType w:val="multilevel"/>
    <w:tmpl w:val="C6D8E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B3532B7"/>
    <w:multiLevelType w:val="multilevel"/>
    <w:tmpl w:val="D1F419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4D30CBC"/>
    <w:multiLevelType w:val="hybridMultilevel"/>
    <w:tmpl w:val="FB48B9C2"/>
    <w:lvl w:ilvl="0" w:tplc="E6A6F772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E6A6F772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123A8"/>
    <w:multiLevelType w:val="hybridMultilevel"/>
    <w:tmpl w:val="45BEDC0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25E41850">
      <w:start w:val="1"/>
      <w:numFmt w:val="decimal"/>
      <w:lvlText w:val="%2."/>
      <w:lvlJc w:val="left"/>
      <w:pPr>
        <w:ind w:left="1512" w:hanging="432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5725B"/>
    <w:multiLevelType w:val="hybridMultilevel"/>
    <w:tmpl w:val="A21CB2A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9B6D60"/>
    <w:multiLevelType w:val="hybridMultilevel"/>
    <w:tmpl w:val="1D663C30"/>
    <w:lvl w:ilvl="0" w:tplc="A5F2BF08">
      <w:start w:val="8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7455C3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42D1AD6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6607969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79A664D"/>
    <w:multiLevelType w:val="multilevel"/>
    <w:tmpl w:val="65D05C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AE85140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B744CF7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C1C7483"/>
    <w:multiLevelType w:val="hybridMultilevel"/>
    <w:tmpl w:val="5248281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D3742D6"/>
    <w:multiLevelType w:val="hybridMultilevel"/>
    <w:tmpl w:val="56F0923C"/>
    <w:lvl w:ilvl="0" w:tplc="D188CB5E">
      <w:start w:val="1"/>
      <w:numFmt w:val="decimal"/>
      <w:lvlText w:val="%1."/>
      <w:lvlJc w:val="left"/>
      <w:pPr>
        <w:ind w:left="1105" w:hanging="396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DAB3773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6E1258A"/>
    <w:multiLevelType w:val="hybridMultilevel"/>
    <w:tmpl w:val="7B2E07F0"/>
    <w:lvl w:ilvl="0" w:tplc="C06476BC">
      <w:start w:val="67"/>
      <w:numFmt w:val="bullet"/>
      <w:lvlText w:val="-"/>
      <w:lvlJc w:val="left"/>
      <w:pPr>
        <w:ind w:left="1152" w:hanging="360"/>
      </w:pPr>
      <w:rPr>
        <w:rFonts w:ascii="Titillium" w:eastAsiaTheme="minorHAnsi" w:hAnsi="Titillium" w:cs="Garamond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4" w15:restartNumberingAfterBreak="0">
    <w:nsid w:val="680836B2"/>
    <w:multiLevelType w:val="hybridMultilevel"/>
    <w:tmpl w:val="025CD3A4"/>
    <w:lvl w:ilvl="0" w:tplc="5CD4C1BC">
      <w:start w:val="1"/>
      <w:numFmt w:val="decimal"/>
      <w:lvlText w:val="3.%1."/>
      <w:lvlJc w:val="left"/>
      <w:pPr>
        <w:ind w:left="1920" w:hanging="360"/>
      </w:pPr>
      <w:rPr>
        <w:rFonts w:hint="default"/>
      </w:rPr>
    </w:lvl>
    <w:lvl w:ilvl="1" w:tplc="5CD4C1BC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1C247C"/>
    <w:multiLevelType w:val="hybridMultilevel"/>
    <w:tmpl w:val="D902BA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D276E1"/>
    <w:multiLevelType w:val="hybridMultilevel"/>
    <w:tmpl w:val="00028E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540EA5"/>
    <w:multiLevelType w:val="multilevel"/>
    <w:tmpl w:val="C6D8E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37E06CB"/>
    <w:multiLevelType w:val="multilevel"/>
    <w:tmpl w:val="C6D8E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CED52A7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D0F73E3"/>
    <w:multiLevelType w:val="hybridMultilevel"/>
    <w:tmpl w:val="3620F3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DCA08DC"/>
    <w:multiLevelType w:val="multilevel"/>
    <w:tmpl w:val="F0548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24062996">
    <w:abstractNumId w:val="35"/>
  </w:num>
  <w:num w:numId="2" w16cid:durableId="385377424">
    <w:abstractNumId w:val="36"/>
  </w:num>
  <w:num w:numId="3" w16cid:durableId="282157660">
    <w:abstractNumId w:val="19"/>
  </w:num>
  <w:num w:numId="4" w16cid:durableId="349769641">
    <w:abstractNumId w:val="21"/>
  </w:num>
  <w:num w:numId="5" w16cid:durableId="843741121">
    <w:abstractNumId w:val="11"/>
  </w:num>
  <w:num w:numId="6" w16cid:durableId="1752192470">
    <w:abstractNumId w:val="15"/>
  </w:num>
  <w:num w:numId="7" w16cid:durableId="615913070">
    <w:abstractNumId w:val="2"/>
  </w:num>
  <w:num w:numId="8" w16cid:durableId="1243372944">
    <w:abstractNumId w:val="38"/>
  </w:num>
  <w:num w:numId="9" w16cid:durableId="1315989451">
    <w:abstractNumId w:val="18"/>
  </w:num>
  <w:num w:numId="10" w16cid:durableId="474299532">
    <w:abstractNumId w:val="13"/>
  </w:num>
  <w:num w:numId="11" w16cid:durableId="1293709904">
    <w:abstractNumId w:val="37"/>
  </w:num>
  <w:num w:numId="12" w16cid:durableId="164369543">
    <w:abstractNumId w:val="17"/>
  </w:num>
  <w:num w:numId="13" w16cid:durableId="1323703690">
    <w:abstractNumId w:val="5"/>
  </w:num>
  <w:num w:numId="14" w16cid:durableId="2118593387">
    <w:abstractNumId w:val="34"/>
  </w:num>
  <w:num w:numId="15" w16cid:durableId="1846550838">
    <w:abstractNumId w:val="20"/>
  </w:num>
  <w:num w:numId="16" w16cid:durableId="130634716">
    <w:abstractNumId w:val="14"/>
  </w:num>
  <w:num w:numId="17" w16cid:durableId="1017776461">
    <w:abstractNumId w:val="26"/>
  </w:num>
  <w:num w:numId="18" w16cid:durableId="1754737137">
    <w:abstractNumId w:val="39"/>
  </w:num>
  <w:num w:numId="19" w16cid:durableId="903611259">
    <w:abstractNumId w:val="12"/>
  </w:num>
  <w:num w:numId="20" w16cid:durableId="1777476600">
    <w:abstractNumId w:val="24"/>
  </w:num>
  <w:num w:numId="21" w16cid:durableId="425032359">
    <w:abstractNumId w:val="7"/>
  </w:num>
  <w:num w:numId="22" w16cid:durableId="1529829163">
    <w:abstractNumId w:val="27"/>
  </w:num>
  <w:num w:numId="23" w16cid:durableId="1198199701">
    <w:abstractNumId w:val="32"/>
  </w:num>
  <w:num w:numId="24" w16cid:durableId="655499049">
    <w:abstractNumId w:val="6"/>
  </w:num>
  <w:num w:numId="25" w16cid:durableId="147215099">
    <w:abstractNumId w:val="25"/>
  </w:num>
  <w:num w:numId="26" w16cid:durableId="1718552379">
    <w:abstractNumId w:val="31"/>
  </w:num>
  <w:num w:numId="27" w16cid:durableId="520244759">
    <w:abstractNumId w:val="28"/>
  </w:num>
  <w:num w:numId="28" w16cid:durableId="527833599">
    <w:abstractNumId w:val="41"/>
  </w:num>
  <w:num w:numId="29" w16cid:durableId="1410497206">
    <w:abstractNumId w:val="4"/>
  </w:num>
  <w:num w:numId="30" w16cid:durableId="1712656494">
    <w:abstractNumId w:val="10"/>
  </w:num>
  <w:num w:numId="31" w16cid:durableId="682824866">
    <w:abstractNumId w:val="29"/>
  </w:num>
  <w:num w:numId="32" w16cid:durableId="833911318">
    <w:abstractNumId w:val="3"/>
  </w:num>
  <w:num w:numId="33" w16cid:durableId="1404985759">
    <w:abstractNumId w:val="1"/>
  </w:num>
  <w:num w:numId="34" w16cid:durableId="1491559040">
    <w:abstractNumId w:val="9"/>
  </w:num>
  <w:num w:numId="35" w16cid:durableId="2037383204">
    <w:abstractNumId w:val="23"/>
  </w:num>
  <w:num w:numId="36" w16cid:durableId="111481579">
    <w:abstractNumId w:val="40"/>
  </w:num>
  <w:num w:numId="37" w16cid:durableId="1006708594">
    <w:abstractNumId w:val="0"/>
  </w:num>
  <w:num w:numId="38" w16cid:durableId="1485200504">
    <w:abstractNumId w:val="8"/>
  </w:num>
  <w:num w:numId="39" w16cid:durableId="279997516">
    <w:abstractNumId w:val="30"/>
  </w:num>
  <w:num w:numId="40" w16cid:durableId="1727991273">
    <w:abstractNumId w:val="22"/>
  </w:num>
  <w:num w:numId="41" w16cid:durableId="68969803">
    <w:abstractNumId w:val="16"/>
  </w:num>
  <w:num w:numId="42" w16cid:durableId="990518769">
    <w:abstractNumId w:val="3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EC"/>
    <w:rsid w:val="00016FEF"/>
    <w:rsid w:val="00021A59"/>
    <w:rsid w:val="000239C7"/>
    <w:rsid w:val="0002578C"/>
    <w:rsid w:val="00032D88"/>
    <w:rsid w:val="000551C3"/>
    <w:rsid w:val="00056072"/>
    <w:rsid w:val="000620D4"/>
    <w:rsid w:val="0006551B"/>
    <w:rsid w:val="00065D42"/>
    <w:rsid w:val="000660FF"/>
    <w:rsid w:val="00070891"/>
    <w:rsid w:val="00072077"/>
    <w:rsid w:val="0007348D"/>
    <w:rsid w:val="00080128"/>
    <w:rsid w:val="00086694"/>
    <w:rsid w:val="00087B75"/>
    <w:rsid w:val="00090A67"/>
    <w:rsid w:val="00094925"/>
    <w:rsid w:val="00096445"/>
    <w:rsid w:val="000A342D"/>
    <w:rsid w:val="000A6271"/>
    <w:rsid w:val="000A651E"/>
    <w:rsid w:val="000B3F60"/>
    <w:rsid w:val="000B5D0A"/>
    <w:rsid w:val="000E4E11"/>
    <w:rsid w:val="000E679A"/>
    <w:rsid w:val="000F48C7"/>
    <w:rsid w:val="00106AE6"/>
    <w:rsid w:val="001139A1"/>
    <w:rsid w:val="00115601"/>
    <w:rsid w:val="00126E6C"/>
    <w:rsid w:val="00130EB3"/>
    <w:rsid w:val="00134709"/>
    <w:rsid w:val="0013584A"/>
    <w:rsid w:val="001412F7"/>
    <w:rsid w:val="00141CEE"/>
    <w:rsid w:val="00145D2D"/>
    <w:rsid w:val="00164170"/>
    <w:rsid w:val="00167C2F"/>
    <w:rsid w:val="0017250E"/>
    <w:rsid w:val="001813A4"/>
    <w:rsid w:val="001A07F3"/>
    <w:rsid w:val="001A7253"/>
    <w:rsid w:val="001B6F56"/>
    <w:rsid w:val="001C1B04"/>
    <w:rsid w:val="001C463B"/>
    <w:rsid w:val="001C4F9E"/>
    <w:rsid w:val="001D021D"/>
    <w:rsid w:val="001E27AF"/>
    <w:rsid w:val="001E397A"/>
    <w:rsid w:val="001E7E24"/>
    <w:rsid w:val="001F1199"/>
    <w:rsid w:val="001F2D56"/>
    <w:rsid w:val="00213C25"/>
    <w:rsid w:val="00215C1A"/>
    <w:rsid w:val="00221C7C"/>
    <w:rsid w:val="00221D31"/>
    <w:rsid w:val="00222EFC"/>
    <w:rsid w:val="002438BF"/>
    <w:rsid w:val="00244580"/>
    <w:rsid w:val="0025789F"/>
    <w:rsid w:val="00266A54"/>
    <w:rsid w:val="00267615"/>
    <w:rsid w:val="00273B63"/>
    <w:rsid w:val="00291953"/>
    <w:rsid w:val="002A58A5"/>
    <w:rsid w:val="002A64AD"/>
    <w:rsid w:val="002B2FA1"/>
    <w:rsid w:val="002B372D"/>
    <w:rsid w:val="002B3F8F"/>
    <w:rsid w:val="002C5627"/>
    <w:rsid w:val="002D3B61"/>
    <w:rsid w:val="002D65EC"/>
    <w:rsid w:val="002E1071"/>
    <w:rsid w:val="002F4151"/>
    <w:rsid w:val="003161BE"/>
    <w:rsid w:val="003203DE"/>
    <w:rsid w:val="00325725"/>
    <w:rsid w:val="00331252"/>
    <w:rsid w:val="003413BE"/>
    <w:rsid w:val="0034560E"/>
    <w:rsid w:val="00346912"/>
    <w:rsid w:val="0035360A"/>
    <w:rsid w:val="003722D9"/>
    <w:rsid w:val="00375AA7"/>
    <w:rsid w:val="00392A8F"/>
    <w:rsid w:val="00392BC4"/>
    <w:rsid w:val="00396E0F"/>
    <w:rsid w:val="003A518E"/>
    <w:rsid w:val="003B2F68"/>
    <w:rsid w:val="003D1136"/>
    <w:rsid w:val="003D2C60"/>
    <w:rsid w:val="003E1520"/>
    <w:rsid w:val="003E52DB"/>
    <w:rsid w:val="003F0D15"/>
    <w:rsid w:val="003F4100"/>
    <w:rsid w:val="003F7204"/>
    <w:rsid w:val="003F73A4"/>
    <w:rsid w:val="004061C0"/>
    <w:rsid w:val="0040669E"/>
    <w:rsid w:val="00406CD9"/>
    <w:rsid w:val="004251F8"/>
    <w:rsid w:val="00440E21"/>
    <w:rsid w:val="00443BD6"/>
    <w:rsid w:val="00451369"/>
    <w:rsid w:val="00455F1C"/>
    <w:rsid w:val="004815A4"/>
    <w:rsid w:val="0048674A"/>
    <w:rsid w:val="004906B4"/>
    <w:rsid w:val="004A1FF2"/>
    <w:rsid w:val="004A336F"/>
    <w:rsid w:val="004B4DD2"/>
    <w:rsid w:val="004B5181"/>
    <w:rsid w:val="004B7F6D"/>
    <w:rsid w:val="004D383E"/>
    <w:rsid w:val="004D70CE"/>
    <w:rsid w:val="004E16DA"/>
    <w:rsid w:val="004E4438"/>
    <w:rsid w:val="004F278F"/>
    <w:rsid w:val="004F2DD0"/>
    <w:rsid w:val="004F54F8"/>
    <w:rsid w:val="00500130"/>
    <w:rsid w:val="005041DC"/>
    <w:rsid w:val="005050E8"/>
    <w:rsid w:val="00515B0B"/>
    <w:rsid w:val="005247A3"/>
    <w:rsid w:val="00547317"/>
    <w:rsid w:val="00550922"/>
    <w:rsid w:val="00553749"/>
    <w:rsid w:val="00557C7C"/>
    <w:rsid w:val="005622F2"/>
    <w:rsid w:val="005638A4"/>
    <w:rsid w:val="005765AD"/>
    <w:rsid w:val="005770F3"/>
    <w:rsid w:val="00586A69"/>
    <w:rsid w:val="00595180"/>
    <w:rsid w:val="005959F2"/>
    <w:rsid w:val="005A2F7B"/>
    <w:rsid w:val="005A3E62"/>
    <w:rsid w:val="005B705C"/>
    <w:rsid w:val="005B794E"/>
    <w:rsid w:val="005C53A9"/>
    <w:rsid w:val="005E0AC7"/>
    <w:rsid w:val="005E5F18"/>
    <w:rsid w:val="00602F96"/>
    <w:rsid w:val="00606C57"/>
    <w:rsid w:val="00607E38"/>
    <w:rsid w:val="006153CF"/>
    <w:rsid w:val="00625C55"/>
    <w:rsid w:val="00626607"/>
    <w:rsid w:val="00632783"/>
    <w:rsid w:val="00637955"/>
    <w:rsid w:val="00643124"/>
    <w:rsid w:val="00651218"/>
    <w:rsid w:val="00654A12"/>
    <w:rsid w:val="0067318C"/>
    <w:rsid w:val="0067352E"/>
    <w:rsid w:val="0069508F"/>
    <w:rsid w:val="00696C4D"/>
    <w:rsid w:val="006A2CB5"/>
    <w:rsid w:val="006A50CD"/>
    <w:rsid w:val="006B079E"/>
    <w:rsid w:val="006B7941"/>
    <w:rsid w:val="006C29F3"/>
    <w:rsid w:val="006C6B32"/>
    <w:rsid w:val="006D5E31"/>
    <w:rsid w:val="006E0B1A"/>
    <w:rsid w:val="006E37E1"/>
    <w:rsid w:val="006F0715"/>
    <w:rsid w:val="006F0835"/>
    <w:rsid w:val="006F5A84"/>
    <w:rsid w:val="00700A47"/>
    <w:rsid w:val="00715F3B"/>
    <w:rsid w:val="007220A4"/>
    <w:rsid w:val="00722360"/>
    <w:rsid w:val="00723ECD"/>
    <w:rsid w:val="00730C77"/>
    <w:rsid w:val="00736BEE"/>
    <w:rsid w:val="00747A83"/>
    <w:rsid w:val="00747C37"/>
    <w:rsid w:val="00750384"/>
    <w:rsid w:val="00756683"/>
    <w:rsid w:val="00761BA1"/>
    <w:rsid w:val="00770283"/>
    <w:rsid w:val="00780D6A"/>
    <w:rsid w:val="00782D9E"/>
    <w:rsid w:val="00786CD9"/>
    <w:rsid w:val="007926EB"/>
    <w:rsid w:val="00793356"/>
    <w:rsid w:val="007B12A1"/>
    <w:rsid w:val="007B18C6"/>
    <w:rsid w:val="007B7D72"/>
    <w:rsid w:val="007C1DC8"/>
    <w:rsid w:val="007C2971"/>
    <w:rsid w:val="007C3732"/>
    <w:rsid w:val="007E076B"/>
    <w:rsid w:val="007F099B"/>
    <w:rsid w:val="007F242E"/>
    <w:rsid w:val="007F2E20"/>
    <w:rsid w:val="007F4DCA"/>
    <w:rsid w:val="007F7D7A"/>
    <w:rsid w:val="008000D3"/>
    <w:rsid w:val="00802060"/>
    <w:rsid w:val="00836C59"/>
    <w:rsid w:val="00841865"/>
    <w:rsid w:val="0084407F"/>
    <w:rsid w:val="008444D9"/>
    <w:rsid w:val="008452D1"/>
    <w:rsid w:val="00845474"/>
    <w:rsid w:val="00850592"/>
    <w:rsid w:val="008554AC"/>
    <w:rsid w:val="0085576A"/>
    <w:rsid w:val="00863114"/>
    <w:rsid w:val="00880A11"/>
    <w:rsid w:val="00885FC4"/>
    <w:rsid w:val="00886D85"/>
    <w:rsid w:val="00887186"/>
    <w:rsid w:val="008919D3"/>
    <w:rsid w:val="00893DC7"/>
    <w:rsid w:val="008A4FA7"/>
    <w:rsid w:val="008B5986"/>
    <w:rsid w:val="008C2E75"/>
    <w:rsid w:val="008C6508"/>
    <w:rsid w:val="008C73E1"/>
    <w:rsid w:val="008D0357"/>
    <w:rsid w:val="008D4DC0"/>
    <w:rsid w:val="008E2023"/>
    <w:rsid w:val="008E5787"/>
    <w:rsid w:val="008E5D75"/>
    <w:rsid w:val="008F13E7"/>
    <w:rsid w:val="008F280F"/>
    <w:rsid w:val="008F3AD3"/>
    <w:rsid w:val="008F703E"/>
    <w:rsid w:val="009119C6"/>
    <w:rsid w:val="00922208"/>
    <w:rsid w:val="00922C0B"/>
    <w:rsid w:val="00923D75"/>
    <w:rsid w:val="00925A99"/>
    <w:rsid w:val="00925E05"/>
    <w:rsid w:val="00926F40"/>
    <w:rsid w:val="00927063"/>
    <w:rsid w:val="00933891"/>
    <w:rsid w:val="00943620"/>
    <w:rsid w:val="00945421"/>
    <w:rsid w:val="0094594D"/>
    <w:rsid w:val="00945D47"/>
    <w:rsid w:val="00951C2B"/>
    <w:rsid w:val="009523A3"/>
    <w:rsid w:val="009570F5"/>
    <w:rsid w:val="00957EB8"/>
    <w:rsid w:val="00965616"/>
    <w:rsid w:val="00970A56"/>
    <w:rsid w:val="0097469D"/>
    <w:rsid w:val="0097480B"/>
    <w:rsid w:val="00975A2D"/>
    <w:rsid w:val="00977C1A"/>
    <w:rsid w:val="009833CF"/>
    <w:rsid w:val="00983BAA"/>
    <w:rsid w:val="0098630E"/>
    <w:rsid w:val="00987B67"/>
    <w:rsid w:val="009930CE"/>
    <w:rsid w:val="00996EDF"/>
    <w:rsid w:val="009A40A2"/>
    <w:rsid w:val="009A6758"/>
    <w:rsid w:val="009B1582"/>
    <w:rsid w:val="009B7F22"/>
    <w:rsid w:val="009D6A56"/>
    <w:rsid w:val="009D7C0E"/>
    <w:rsid w:val="009E304A"/>
    <w:rsid w:val="009E3B1D"/>
    <w:rsid w:val="009E65DA"/>
    <w:rsid w:val="00A00BA9"/>
    <w:rsid w:val="00A00F3E"/>
    <w:rsid w:val="00A020C8"/>
    <w:rsid w:val="00A037B5"/>
    <w:rsid w:val="00A03C6E"/>
    <w:rsid w:val="00A1317B"/>
    <w:rsid w:val="00A168BA"/>
    <w:rsid w:val="00A17167"/>
    <w:rsid w:val="00A261B7"/>
    <w:rsid w:val="00A331F0"/>
    <w:rsid w:val="00A37927"/>
    <w:rsid w:val="00A57BF9"/>
    <w:rsid w:val="00A60A1C"/>
    <w:rsid w:val="00A62B98"/>
    <w:rsid w:val="00A760FC"/>
    <w:rsid w:val="00A81773"/>
    <w:rsid w:val="00A81ECE"/>
    <w:rsid w:val="00A90CF1"/>
    <w:rsid w:val="00A91367"/>
    <w:rsid w:val="00A957C8"/>
    <w:rsid w:val="00A95BDC"/>
    <w:rsid w:val="00AA168A"/>
    <w:rsid w:val="00AB05E1"/>
    <w:rsid w:val="00AC24AE"/>
    <w:rsid w:val="00AC2D27"/>
    <w:rsid w:val="00AC67C0"/>
    <w:rsid w:val="00AD558E"/>
    <w:rsid w:val="00AD5FF4"/>
    <w:rsid w:val="00AF08FF"/>
    <w:rsid w:val="00AF3B4A"/>
    <w:rsid w:val="00B007BE"/>
    <w:rsid w:val="00B02D4B"/>
    <w:rsid w:val="00B138E5"/>
    <w:rsid w:val="00B2561C"/>
    <w:rsid w:val="00B32177"/>
    <w:rsid w:val="00B33810"/>
    <w:rsid w:val="00B34524"/>
    <w:rsid w:val="00B42FD2"/>
    <w:rsid w:val="00B51BFF"/>
    <w:rsid w:val="00B5441C"/>
    <w:rsid w:val="00B557A5"/>
    <w:rsid w:val="00B66DF5"/>
    <w:rsid w:val="00B85CB8"/>
    <w:rsid w:val="00B85FD0"/>
    <w:rsid w:val="00BA0B2E"/>
    <w:rsid w:val="00BA54B8"/>
    <w:rsid w:val="00BC4C04"/>
    <w:rsid w:val="00BC79AA"/>
    <w:rsid w:val="00BC79C3"/>
    <w:rsid w:val="00BE4C8D"/>
    <w:rsid w:val="00BF1AF4"/>
    <w:rsid w:val="00C05688"/>
    <w:rsid w:val="00C05DAF"/>
    <w:rsid w:val="00C06D99"/>
    <w:rsid w:val="00C148BC"/>
    <w:rsid w:val="00C204C7"/>
    <w:rsid w:val="00C22CA8"/>
    <w:rsid w:val="00C2635C"/>
    <w:rsid w:val="00C315D4"/>
    <w:rsid w:val="00C32813"/>
    <w:rsid w:val="00C329D8"/>
    <w:rsid w:val="00C41602"/>
    <w:rsid w:val="00C4222D"/>
    <w:rsid w:val="00C444F6"/>
    <w:rsid w:val="00C627CE"/>
    <w:rsid w:val="00C677F2"/>
    <w:rsid w:val="00C7227F"/>
    <w:rsid w:val="00C742EA"/>
    <w:rsid w:val="00C77D56"/>
    <w:rsid w:val="00C866C0"/>
    <w:rsid w:val="00C86ECE"/>
    <w:rsid w:val="00C87D41"/>
    <w:rsid w:val="00C94408"/>
    <w:rsid w:val="00C94711"/>
    <w:rsid w:val="00CA140D"/>
    <w:rsid w:val="00CB2828"/>
    <w:rsid w:val="00CD484E"/>
    <w:rsid w:val="00CD658C"/>
    <w:rsid w:val="00CD7B5B"/>
    <w:rsid w:val="00CE49C8"/>
    <w:rsid w:val="00CE611F"/>
    <w:rsid w:val="00CE6DC1"/>
    <w:rsid w:val="00CE73B5"/>
    <w:rsid w:val="00CF1311"/>
    <w:rsid w:val="00CF62A2"/>
    <w:rsid w:val="00D13D92"/>
    <w:rsid w:val="00D16573"/>
    <w:rsid w:val="00D25C78"/>
    <w:rsid w:val="00D313D0"/>
    <w:rsid w:val="00D423D5"/>
    <w:rsid w:val="00D45BF7"/>
    <w:rsid w:val="00D53649"/>
    <w:rsid w:val="00D568FC"/>
    <w:rsid w:val="00D60DD1"/>
    <w:rsid w:val="00D64E51"/>
    <w:rsid w:val="00D6576E"/>
    <w:rsid w:val="00D6585E"/>
    <w:rsid w:val="00D701CD"/>
    <w:rsid w:val="00D738A7"/>
    <w:rsid w:val="00D740B0"/>
    <w:rsid w:val="00D75D2A"/>
    <w:rsid w:val="00D76A69"/>
    <w:rsid w:val="00D77980"/>
    <w:rsid w:val="00D77F68"/>
    <w:rsid w:val="00D876C3"/>
    <w:rsid w:val="00D87EAF"/>
    <w:rsid w:val="00D94FDE"/>
    <w:rsid w:val="00DA3361"/>
    <w:rsid w:val="00DB128D"/>
    <w:rsid w:val="00DB4962"/>
    <w:rsid w:val="00DC2FF1"/>
    <w:rsid w:val="00DC48B8"/>
    <w:rsid w:val="00DC4AFB"/>
    <w:rsid w:val="00DC55E3"/>
    <w:rsid w:val="00DC5AE2"/>
    <w:rsid w:val="00DD446F"/>
    <w:rsid w:val="00DD553C"/>
    <w:rsid w:val="00DE740E"/>
    <w:rsid w:val="00DE7BCB"/>
    <w:rsid w:val="00E1799A"/>
    <w:rsid w:val="00E201D8"/>
    <w:rsid w:val="00E2786B"/>
    <w:rsid w:val="00E364D2"/>
    <w:rsid w:val="00E378C6"/>
    <w:rsid w:val="00E63AC1"/>
    <w:rsid w:val="00E63E1C"/>
    <w:rsid w:val="00E91B81"/>
    <w:rsid w:val="00EA2954"/>
    <w:rsid w:val="00EC26A2"/>
    <w:rsid w:val="00EC33E1"/>
    <w:rsid w:val="00ED2359"/>
    <w:rsid w:val="00EE18A0"/>
    <w:rsid w:val="00EE70CA"/>
    <w:rsid w:val="00EF4AED"/>
    <w:rsid w:val="00EF5C7B"/>
    <w:rsid w:val="00F14344"/>
    <w:rsid w:val="00F211BD"/>
    <w:rsid w:val="00F266AD"/>
    <w:rsid w:val="00F3271D"/>
    <w:rsid w:val="00F32ECF"/>
    <w:rsid w:val="00F34A49"/>
    <w:rsid w:val="00F543DD"/>
    <w:rsid w:val="00F614E7"/>
    <w:rsid w:val="00F7687F"/>
    <w:rsid w:val="00F7745E"/>
    <w:rsid w:val="00F81CE4"/>
    <w:rsid w:val="00F92A10"/>
    <w:rsid w:val="00FB6D8B"/>
    <w:rsid w:val="00FC0735"/>
    <w:rsid w:val="00FC5046"/>
    <w:rsid w:val="00FD3BF5"/>
    <w:rsid w:val="00FD5E1D"/>
    <w:rsid w:val="00FD6990"/>
    <w:rsid w:val="00FD7391"/>
    <w:rsid w:val="00FE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17548"/>
  <w15:chartTrackingRefBased/>
  <w15:docId w15:val="{BD584477-8FB5-4FD8-8034-9E6A62A3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4D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D65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570F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5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5601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C204C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204C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204C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204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204C7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86EC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86EC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86EC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A40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0A2"/>
  </w:style>
  <w:style w:type="paragraph" w:styleId="Pidipagina">
    <w:name w:val="footer"/>
    <w:basedOn w:val="Normale"/>
    <w:link w:val="PidipaginaCarattere"/>
    <w:uiPriority w:val="99"/>
    <w:unhideWhenUsed/>
    <w:rsid w:val="009A40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0A2"/>
  </w:style>
  <w:style w:type="table" w:styleId="Grigliatabella">
    <w:name w:val="Table Grid"/>
    <w:basedOn w:val="Tabellanormale"/>
    <w:uiPriority w:val="39"/>
    <w:rsid w:val="00181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D568FC"/>
    <w:rPr>
      <w:i/>
      <w:iCs/>
    </w:rPr>
  </w:style>
  <w:style w:type="paragraph" w:styleId="Revisione">
    <w:name w:val="Revision"/>
    <w:hidden/>
    <w:uiPriority w:val="99"/>
    <w:semiHidden/>
    <w:rsid w:val="00AF3B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5F21A817020D468D1DA3C18C83A1BE" ma:contentTypeVersion="14" ma:contentTypeDescription="Creare un nuovo documento." ma:contentTypeScope="" ma:versionID="928b891f74836f0d96a7bf92b6adbcf8">
  <xsd:schema xmlns:xsd="http://www.w3.org/2001/XMLSchema" xmlns:xs="http://www.w3.org/2001/XMLSchema" xmlns:p="http://schemas.microsoft.com/office/2006/metadata/properties" xmlns:ns3="193fa64e-86f2-43c1-a4e7-9883642cd89e" xmlns:ns4="8e6d37ef-bfab-4ea1-8ac3-cbcade7eade0" targetNamespace="http://schemas.microsoft.com/office/2006/metadata/properties" ma:root="true" ma:fieldsID="5ca8f473749ef5685e79312bcd1af400" ns3:_="" ns4:_="">
    <xsd:import namespace="193fa64e-86f2-43c1-a4e7-9883642cd89e"/>
    <xsd:import namespace="8e6d37ef-bfab-4ea1-8ac3-cbcade7ead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fa64e-86f2-43c1-a4e7-9883642cd8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d37ef-bfab-4ea1-8ac3-cbcade7ea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CDEDC2-252F-4EE0-AF13-16723BF749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2DAF1D-18B4-4F2C-AA2D-E5476240D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fa64e-86f2-43c1-a4e7-9883642cd89e"/>
    <ds:schemaRef ds:uri="8e6d37ef-bfab-4ea1-8ac3-cbcade7ea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075E4E-2E68-4C39-A29D-C95170B706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1FD19C-23A2-4C0D-892A-F19CDF3499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Labbadia Alessia</dc:creator>
  <cp:keywords/>
  <dc:description/>
  <cp:lastModifiedBy>filippeschi@aliautonomie.it</cp:lastModifiedBy>
  <cp:revision>2</cp:revision>
  <cp:lastPrinted>2022-03-28T17:36:00Z</cp:lastPrinted>
  <dcterms:created xsi:type="dcterms:W3CDTF">2025-07-14T06:45:00Z</dcterms:created>
  <dcterms:modified xsi:type="dcterms:W3CDTF">2025-07-14T06:45:00Z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0x0101001A5F21A817020D468D1DA3C18C83A1BE</vt:lpwstr>
  </property>
</Properties>
</file>